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水利工程中级资格申报标准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模块设置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87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大专、本科学历层次，专业对口（相关）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大专、本科、硕研学历层次，专业不对口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大专以下学历层次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硕研学历层次，专业对口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高级工班、预备技师（技师）高级班，专业对口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1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资历</w:t>
            </w: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助理工程师，专业对口，聘任满4年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专业技术人员二级职业资格 水利相关专业（须注册满4年），聘任满4年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具有B1/Bj所列资格，但不足相关年限（助工/专技职业资格聘任未满4年）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不具备相关资格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聘任工程师满1年（转评，所具资格专业与申报职称专业须相关）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具有助理工程师资格，聘任X年限（X≥4年）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获得技师职业技能等级后从事技术技能工作满3年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级技能大师工作室领办人、省首席技师、全国技术能手，获得世界技能大赛优胜奖，国家级一类技能竞赛前五名、国家级二类技能竞赛前三名，省“百千万”高技能领军人才培养工程中入选“拔尖技能人才”的人员，市级技能大师工作室领办人，市“优秀高技能人才”奖获得者，市“十百千技能大师培养工程”中入选“杰出技能大师”和“拔尖技能大师”的人员，获得市“技能之星”职业技能竞赛第一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Bz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积分申报标准</w:t>
      </w:r>
    </w:p>
    <w:tbl>
      <w:tblPr>
        <w:tblStyle w:val="4"/>
        <w:tblW w:w="9975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15"/>
        <w:gridCol w:w="49"/>
        <w:gridCol w:w="1856"/>
        <w:gridCol w:w="8"/>
        <w:gridCol w:w="1864"/>
        <w:gridCol w:w="54"/>
        <w:gridCol w:w="181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A1B1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50分及以上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原正常申报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类原破格申报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4年&gt;B2≥3年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3年&gt;B2≥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2年&gt;B2≥1年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1年&gt;B2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类原越级申报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B3≥5年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5年&gt;B3≥4年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4年&gt;B3≥3年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3年&gt;B3≥2年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A1B4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50分及以上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原转评申报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A1Bj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技能互通申报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Bj≥3年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A2B1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类专业破格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4年&gt;B2≥3年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3年&gt;B2≥2年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2年&gt;B2≥1年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B3≥8年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8年&gt;B3≥6年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6年&gt;B3≥4年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A2Bx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A3Bx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80分及以上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类原直接申报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Bx≥8年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8年&gt;Bx≥6年</w:t>
            </w:r>
          </w:p>
        </w:tc>
        <w:tc>
          <w:tcPr>
            <w:tcW w:w="192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6年&gt;Bx≥4年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A3B2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90分及以上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926" w:type="dxa"/>
            <w:gridSpan w:val="3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无学历短资历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4年&gt;B2≥3年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3年&gt;B2≥2年</w:t>
            </w:r>
          </w:p>
        </w:tc>
        <w:tc>
          <w:tcPr>
            <w:tcW w:w="1926" w:type="dxa"/>
            <w:gridSpan w:val="3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A3B3</w:t>
            </w:r>
          </w:p>
        </w:tc>
        <w:tc>
          <w:tcPr>
            <w:tcW w:w="745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105分及以上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类原特殊申报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A4B3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60分及以上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75分及以上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类原硕研   正常申报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B3≥2年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2年&gt;B2≥1年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A5Bj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技能互通申报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Bj≥3年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Bz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70分及以上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技能直报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yellow"/>
                <w:vertAlign w:val="baseline"/>
                <w:lang w:val="en-US" w:eastAsia="zh-CN"/>
              </w:rPr>
              <w:t>无年限要求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>此表年限设定：B1、B2年限为资格聘任年限，B3、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vertAlign w:val="baseline"/>
          <w:lang w:val="en-US" w:eastAsia="zh-CN"/>
        </w:rPr>
        <w:t>Bj年限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>为专业工作年限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eastAsia="zh-CN"/>
        </w:rPr>
        <w:t>量化中：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>高级工班、预备技师（技师）高级班等非常规学历证书在量化积分表中均不兑现学历分数，在资历年限计算中按最低档赋分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Arial"/>
          <w:kern w:val="0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86868"/>
          <w:spacing w:val="0"/>
          <w:sz w:val="24"/>
          <w:szCs w:val="24"/>
          <w:lang w:val="en-US" w:eastAsia="zh-CN"/>
        </w:rPr>
        <w:t>亮黄部分按双标准并行原则，暂不设积分限制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D5B94"/>
    <w:rsid w:val="04484F31"/>
    <w:rsid w:val="08E6339A"/>
    <w:rsid w:val="0EAE76EA"/>
    <w:rsid w:val="131073DD"/>
    <w:rsid w:val="133C43B3"/>
    <w:rsid w:val="2AC6492A"/>
    <w:rsid w:val="2E6B3C16"/>
    <w:rsid w:val="399939B1"/>
    <w:rsid w:val="3FED5B94"/>
    <w:rsid w:val="505C37CA"/>
    <w:rsid w:val="524961B9"/>
    <w:rsid w:val="57012174"/>
    <w:rsid w:val="58B0223A"/>
    <w:rsid w:val="5ADD4152"/>
    <w:rsid w:val="629E373C"/>
    <w:rsid w:val="63CF6F4B"/>
    <w:rsid w:val="6B991C62"/>
    <w:rsid w:val="72456756"/>
    <w:rsid w:val="7DD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2020-06-30T14:40:00Z</dcterms:created>
  <dc:creator>梦龙王</dc:creator>
  <cp:lastModifiedBy>Administrator</cp:lastModifiedBy>
  <dcterms:modified xsi:type="dcterms:W3CDTF">2020-11-23T02:18:27Z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