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  <w:t>BYZD62-202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  <w:t>-0001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rPr>
          <w:rFonts w:ascii="方正小标宋简体" w:eastAsia="方正小标宋简体"/>
          <w:color w:val="FF0000"/>
          <w:spacing w:val="-29"/>
          <w:w w:val="90"/>
          <w:kern w:val="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-29"/>
          <w:w w:val="90"/>
          <w:kern w:val="0"/>
          <w:sz w:val="72"/>
          <w:szCs w:val="72"/>
        </w:rPr>
        <w:t>宁波市鄞州区退役军人事务局文件</w:t>
      </w:r>
    </w:p>
    <w:p>
      <w:pPr>
        <w:spacing w:line="320" w:lineRule="exact"/>
      </w:pPr>
    </w:p>
    <w:p>
      <w:pPr>
        <w:spacing w:line="320" w:lineRule="exact"/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鄞退役军人局发〔202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120" w:lineRule="exact"/>
        <w:rPr>
          <w:rFonts w:ascii="仿宋_GB2312"/>
          <w:color w:val="FF0000"/>
          <w:sz w:val="56"/>
          <w:szCs w:val="56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>
        <w:rPr>
          <w:rFonts w:hint="eastAsia" w:ascii="仿宋_GB2312"/>
          <w:color w:val="FF0000"/>
          <w:sz w:val="56"/>
          <w:szCs w:val="56"/>
        </w:rPr>
        <w:t xml:space="preserve"> 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15240</wp:posOffset>
                </wp:positionV>
                <wp:extent cx="571563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55pt;margin-top:1.2pt;height:0.05pt;width:450.05pt;z-index:251660288;mso-width-relative:page;mso-height-relative:page;" filled="f" stroked="t" coordsize="21600,21600" o:gfxdata="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nm9vNMAAAAGAQAADwAAAAAAAAABACAAAAAi&#10;AAAAZHJzL2Rvd25yZXYueG1sUEsBAhQAFAAAAAgAh07iQDGcf7XWAQAAmgMAAA4AAAAAAAAAAQAg&#10;AAAAIgEAAGRycy9lMm9Eb2MueG1sUEsFBgAAAAAGAAYAWQEAAGo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“鄞州区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老兵关爱慈善基金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使用管理办法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广泛筹集、科学管理、合理使用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老兵关爱慈善基金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现将《“鄞州区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老兵关爱慈善基金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》，印发你们，望遵照执行。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宁波市鄞州区退役军人事务局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2022年6月6日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“鄞州区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老兵关爱慈善基金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使用管理办法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大力弘扬社会主义精神文明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服务保障水平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，广泛动员社会力量关心关爱退役军人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帮助解决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困难和问题，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积极推动退役军人公益慈善事业的发展。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为广泛筹集、科学管理、合理使用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老兵关爱慈善基金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基金来源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鄞州区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退役军人事务局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注入资金；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社会各界爱心企业和爱心人士募集的资金。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第二条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基金使用原则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老兵关爱慈善基金”由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鄞州区慈善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慈善分会发起，接受的善款存入宁波市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州区慈善总会账号，区慈善总会设立鄞州区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老兵关爱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专户，由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慈善分会按规定进行使用和管理。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鄞州区慈善总会对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慈善分会开展的公益慈善活动提供指导和帮助、对基金的使用进行审批和监管；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区慈善总会和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慈善分会应当主动向捐赠人反馈有关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捐款的使用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金的各项开支要严格审批手续，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规定程序执行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第三条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基金使用范围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户籍所在地为鄞州区的退役军人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因个人或家庭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面临急迫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困难时，在接受政府相关补助之后，仍存在困难需要帮扶援助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老兵关爱慈善基金，需符合下列情形之一：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1.因自然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灾害、意外伤害等突发事件或连续失业等特殊原因，导致基本生活出现暂时严重困难的退役军人家庭；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因突发疾病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身患重特大疾病导致自付医疗费用较高，经济困难无力支付医疗费用的退役军人家庭；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对其他特殊困难、特殊情况的退役军人实施救助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户籍地在鄞州区获得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称号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对社会有突出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贡献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重大活动中表现突出（被上级通报表扬）的退役军人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视情进行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慰问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对有创业需求且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困难需要帮助的退役军人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退役军人事务工作相关的公益项目或活动。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未尽事项，由鄞州区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慈善分会和鄞州区慈善总会双方协商进行扶助。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基金使用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困难退役军人申请老兵关爱慈善基金时，给予其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援助的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具体数额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应当综合以下因素确定：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申请援助人实际遭受的损失、困难程度；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申请援助人及其家庭子女的经济状况；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申请援助人维持其住所地基本生活水平所必需的最低支出；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其他综合因素。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老兵关爱基金援助金额原则上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一次在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5000元以内（含5000元），由承办人出具情况说明，阐明予以援助的理由及具体援助金额，报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退役军人事务局慈善分会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领导审批。一个年度内申请不超过两次。对少数有巨额医疗费开支、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需要器官移植、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出现重大变故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等特殊情形的当事人，如损失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大、生活特别困难，需要适当突破援助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次数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可超过两次，但必须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严格审核控制数额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慈善总会领导审批。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称号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对社会有突出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贡献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重大活动中表现突出的退役军人进行慰问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或奖励时，具体金额应当综合考虑其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贡献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和重大活动中表现突出程度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一般不超过5000元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有创业需求且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困难的退役军人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申请基金时，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给予其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援助的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应当综合考虑当事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创业项目前景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困难情况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帮扶援助金额为10000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~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申请老兵关爱基金的退役军人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公益性项目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包括鄞州区退役军人事务系统组织开展的拥军优属、尊军崇军等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性项目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以及各类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形式多样、内容丰富的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退役军人志愿服务活动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。公益性项目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退役军人事务局慈善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审批后，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区慈善总会审核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扶助，扶助标准根据具体项目另行商定。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未尽事项，由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退役军人事务局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慈善分会和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区慈善总会双方协商进行扶助。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条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基金的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申请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和审批程序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困难退役军人申请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老兵关爱慈善基金，应当提交以下材料：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1.“鄞州区老兵关爱慈善基金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表（个人）”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信息要填写完整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明申请援助的理由；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身份证、本人鄞州银行卡复印件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申请人及其家庭成员生活困难的证明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生活困难证明主要是指申请人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出的家庭人口、劳动能力、就业状况、家庭收入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及资产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等情况的证明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并经申请人户籍所在地或常住地的镇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慈善工作站审核盖章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人的医疗救治材料、医疗发票或者死亡证明；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退役军人事务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局慈善分会认为需要提供的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其他与申请老兵关爱基金有关的材料。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以上申请材料由申请人户籍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镇（街道）退役军人服务站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进行初审并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签署意见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区退役军人服务中心复审后，报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有创业需求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申请基金时，由当事人提出书面申请，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鄞州区老兵关爱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慈善基金申请表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镇（街道）退役军人服务站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进行初审并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签署意见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区退役军人服务中心复审后，报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相关单位因开展慰问、公益项目、志愿活动等退役军人事务相关工作，需要申请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老兵关爱慈善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单位提出书面申请，填写“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鄞州区老兵关爱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慈善基金申请表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所在镇（街道）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退役军人服务站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业务主管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进行初审并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签署意见，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区退役军人服务中心复审后，报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鄞州区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对上述个人或单位的申请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批通过后，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予以公示五个工作日，公示无异议的，报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区慈善总会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予以援助、不予以援助或援助金额少于申请的决定作出后，由承办部门告知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申请人或单位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，做好解释说明工作。对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急需援助的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个人或单位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慈善分会与鄞州区慈善总会协调后，由鄞州区慈善总会依援助标准先行垫付援助金，援助后及时补办审批手续。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六、责任追究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本专项基金任何单位、个人不得侵占、私分或挪用。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如果申请扶助人或相关单位通过提供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虚</w:t>
      </w:r>
      <w:r>
        <w:rPr>
          <w:rFonts w:hint="eastAsia" w:ascii="仿宋_GB2312" w:hAnsi="仿宋_GB2312" w:eastAsia="仿宋_GB2312" w:cs="仿宋_GB2312"/>
          <w:sz w:val="32"/>
          <w:szCs w:val="32"/>
        </w:rPr>
        <w:t>假材料等手段骗取扶助金的，予以追回，并追究相关责任人员责任；构成犯罪的，依法追究刑事责任。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本规定未尽事宜，由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鄞州区退役军人事务局慈善分会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负责解释。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本规定自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2022年6月6日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鄞州区老兵关爱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慈善基金”申请表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个人版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鄞州区老兵关爱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慈善基金”申请表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鄞州区老兵关爱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慈善基金”申请表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Bdr>
          <w:top w:val="single" w:color="auto" w:sz="8" w:space="1"/>
          <w:bottom w:val="single" w:color="auto" w:sz="8" w:space="1"/>
          <w:between w:val="single" w:color="auto" w:sz="6" w:space="1"/>
        </w:pBdr>
        <w:ind w:firstLine="140" w:firstLineChars="5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宁波市鄞州区退役军人事务局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鄞州区老兵关爱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慈善基金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6"/>
        <w:tblpPr w:leftFromText="180" w:rightFromText="180" w:vertAnchor="text" w:horzAnchor="page" w:tblpX="1361" w:tblpY="159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21"/>
        <w:gridCol w:w="425"/>
        <w:gridCol w:w="991"/>
        <w:gridCol w:w="844"/>
        <w:gridCol w:w="1288"/>
        <w:gridCol w:w="1278"/>
        <w:gridCol w:w="55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户籍所在地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扶助种类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资金来源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老兵关爱慈善基金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申请扶助金额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账号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工作学习单位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申请理由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8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left="3355" w:leftChars="1026" w:right="280" w:hanging="1200" w:hangingChars="5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申请人签字：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镇（街道）退役军人服务站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区退役军人服务中心意见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慈善分会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46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分会领导签字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（盖章）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备案意见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171A1D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</w:t>
      </w:r>
      <w:r>
        <w:rPr>
          <w:rFonts w:hint="eastAsia" w:ascii="宋体" w:hAnsi="宋体" w:eastAsia="宋体" w:cs="宋体"/>
          <w:sz w:val="24"/>
          <w:szCs w:val="24"/>
        </w:rPr>
        <w:t>注：一式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宋体" w:cs="宋体"/>
          <w:sz w:val="24"/>
          <w:szCs w:val="24"/>
        </w:rPr>
        <w:t>份，一份报区慈善总会，一份退役军人慈善分会留存。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鄞州区老兵关爱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慈善基金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6"/>
        <w:tblW w:w="8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3000"/>
        <w:gridCol w:w="1345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申请事由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银行账户名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 行 账 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申请扶助金额（元）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单位      </w:t>
            </w:r>
          </w:p>
        </w:tc>
        <w:tc>
          <w:tcPr>
            <w:tcW w:w="645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440" w:hanging="1440" w:hangingChars="6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所在镇（街道）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退役军人服务站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或单位意见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80" w:hanging="2880" w:hangingChars="1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区退役军人服务中心意见</w:t>
            </w:r>
          </w:p>
        </w:tc>
        <w:tc>
          <w:tcPr>
            <w:tcW w:w="645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慈善分会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签字：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区慈善总会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年   月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备注：此表一式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一份报区慈善总会，慈善分会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和所在单位各留存一份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tbl>
      <w:tblPr>
        <w:tblStyle w:val="6"/>
        <w:tblW w:w="90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911"/>
        <w:gridCol w:w="236"/>
        <w:gridCol w:w="904"/>
        <w:gridCol w:w="773"/>
        <w:gridCol w:w="459"/>
        <w:gridCol w:w="330"/>
        <w:gridCol w:w="487"/>
        <w:gridCol w:w="317"/>
        <w:gridCol w:w="1299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鄞州区老兵关爱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慈善基金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申请表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创业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从事行业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4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                                            庭                    成                   员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工作学习单位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6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扶持理由及生产计划</w:t>
            </w:r>
          </w:p>
        </w:tc>
        <w:tc>
          <w:tcPr>
            <w:tcW w:w="7355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申请人：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基层退役军人服务站意见</w:t>
            </w:r>
          </w:p>
        </w:tc>
        <w:tc>
          <w:tcPr>
            <w:tcW w:w="7355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签字：             盖章：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区退役军人服务中心意见</w:t>
            </w:r>
          </w:p>
        </w:tc>
        <w:tc>
          <w:tcPr>
            <w:tcW w:w="7355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签字：             盖章：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慈善分会审核意见</w:t>
            </w:r>
          </w:p>
        </w:tc>
        <w:tc>
          <w:tcPr>
            <w:tcW w:w="735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签字：             盖章：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慈善总会审批意见</w:t>
            </w:r>
          </w:p>
        </w:tc>
        <w:tc>
          <w:tcPr>
            <w:tcW w:w="735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   年  月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</w:t>
      </w:r>
      <w:r>
        <w:rPr>
          <w:rFonts w:hint="eastAsia" w:ascii="宋体" w:hAnsi="宋体" w:eastAsia="宋体" w:cs="宋体"/>
          <w:sz w:val="24"/>
          <w:szCs w:val="24"/>
        </w:rPr>
        <w:t>注：一式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宋体" w:cs="宋体"/>
          <w:sz w:val="24"/>
          <w:szCs w:val="24"/>
        </w:rPr>
        <w:t>份，一份报区慈善总会，一份退役军人慈善分会留存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010C"/>
    <w:multiLevelType w:val="singleLevel"/>
    <w:tmpl w:val="5C23010C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ZGFiNjYwNTU5ZjY1YThjMWUxNDkwMzBlZGUxZTcifQ=="/>
  </w:docVars>
  <w:rsids>
    <w:rsidRoot w:val="1B944A66"/>
    <w:rsid w:val="02BC257A"/>
    <w:rsid w:val="03872042"/>
    <w:rsid w:val="0412232E"/>
    <w:rsid w:val="043A21AF"/>
    <w:rsid w:val="069B5E85"/>
    <w:rsid w:val="07641B9A"/>
    <w:rsid w:val="07AA1A0D"/>
    <w:rsid w:val="08E71D0F"/>
    <w:rsid w:val="0ADD6CC3"/>
    <w:rsid w:val="0BFA2D40"/>
    <w:rsid w:val="0D5A25F6"/>
    <w:rsid w:val="10EF1F15"/>
    <w:rsid w:val="19934DB9"/>
    <w:rsid w:val="1A3504B1"/>
    <w:rsid w:val="1B944A66"/>
    <w:rsid w:val="1BF71181"/>
    <w:rsid w:val="1E221E4D"/>
    <w:rsid w:val="1EFD7285"/>
    <w:rsid w:val="204213F3"/>
    <w:rsid w:val="20636A0A"/>
    <w:rsid w:val="20AE2CEC"/>
    <w:rsid w:val="24DC7336"/>
    <w:rsid w:val="26222832"/>
    <w:rsid w:val="29A3339E"/>
    <w:rsid w:val="344A3EC5"/>
    <w:rsid w:val="3DD376D7"/>
    <w:rsid w:val="42A62637"/>
    <w:rsid w:val="442A15DC"/>
    <w:rsid w:val="4BD35304"/>
    <w:rsid w:val="505C292A"/>
    <w:rsid w:val="51D80313"/>
    <w:rsid w:val="5AE96779"/>
    <w:rsid w:val="5B9D1EB3"/>
    <w:rsid w:val="5BF43456"/>
    <w:rsid w:val="5D186C08"/>
    <w:rsid w:val="5E1D703E"/>
    <w:rsid w:val="5F7761F2"/>
    <w:rsid w:val="60012795"/>
    <w:rsid w:val="61E64557"/>
    <w:rsid w:val="620F03C3"/>
    <w:rsid w:val="63E63AD6"/>
    <w:rsid w:val="63F65F73"/>
    <w:rsid w:val="65E413F8"/>
    <w:rsid w:val="6BAD156D"/>
    <w:rsid w:val="6CD576D9"/>
    <w:rsid w:val="71226313"/>
    <w:rsid w:val="74135A95"/>
    <w:rsid w:val="761C334E"/>
    <w:rsid w:val="7BF640D0"/>
    <w:rsid w:val="7DD8741B"/>
    <w:rsid w:val="7F6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99"/>
    <w:pPr>
      <w:widowControl/>
      <w:spacing w:line="580" w:lineRule="exact"/>
      <w:ind w:firstLine="600"/>
      <w:jc w:val="left"/>
    </w:pPr>
    <w:rPr>
      <w:rFonts w:ascii="黑体" w:hAnsi="宋体" w:eastAsia="黑体"/>
      <w:color w:val="000000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3168</Words>
  <Characters>3234</Characters>
  <Lines>0</Lines>
  <Paragraphs>0</Paragraphs>
  <TotalTime>0</TotalTime>
  <ScaleCrop>false</ScaleCrop>
  <LinksUpToDate>false</LinksUpToDate>
  <CharactersWithSpaces>3883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2021-12-23T01:46:00Z</dcterms:created>
  <dc:creator>Y。。</dc:creator>
  <cp:lastModifiedBy>彭娩玲</cp:lastModifiedBy>
  <cp:lastPrinted>2022-06-07T00:57:00Z</cp:lastPrinted>
  <dcterms:modified xsi:type="dcterms:W3CDTF">2022-06-07T01:10:28Z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126F35D3B49F40E89560B289C7B64C7F</vt:lpwstr>
  </property>
</Properties>
</file>