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BD9" w:rsidRDefault="00091BD9" w:rsidP="00091BD9">
      <w:pPr>
        <w:jc w:val="center"/>
        <w:rPr>
          <w:rFonts w:ascii="方正小标宋简体" w:eastAsia="方正小标宋简体" w:hAnsi="方正小标宋简体" w:cs="方正小标宋简体" w:hint="eastAsia"/>
          <w:kern w:val="0"/>
          <w:sz w:val="36"/>
          <w:szCs w:val="36"/>
        </w:rPr>
      </w:pPr>
      <w:proofErr w:type="gramStart"/>
      <w:r>
        <w:rPr>
          <w:rFonts w:ascii="方正小标宋简体" w:eastAsia="方正小标宋简体" w:hAnsi="方正小标宋简体" w:cs="方正小标宋简体" w:hint="eastAsia"/>
          <w:kern w:val="0"/>
          <w:sz w:val="36"/>
          <w:szCs w:val="36"/>
        </w:rPr>
        <w:t>鄞</w:t>
      </w:r>
      <w:proofErr w:type="gramEnd"/>
      <w:r>
        <w:rPr>
          <w:rFonts w:ascii="方正小标宋简体" w:eastAsia="方正小标宋简体" w:hAnsi="方正小标宋简体" w:cs="方正小标宋简体" w:hint="eastAsia"/>
          <w:kern w:val="0"/>
          <w:sz w:val="36"/>
          <w:szCs w:val="36"/>
        </w:rPr>
        <w:t>州区美丽乡村分类创建专项资金管理办法</w:t>
      </w:r>
    </w:p>
    <w:p w:rsidR="00091BD9" w:rsidRDefault="00091BD9" w:rsidP="00091BD9">
      <w:pPr>
        <w:ind w:firstLineChars="1022" w:firstLine="3270"/>
        <w:rPr>
          <w:rFonts w:ascii="仿宋_GB2312" w:eastAsia="仿宋_GB2312" w:hAnsi="宋体" w:cs="宋体" w:hint="eastAsia"/>
          <w:kern w:val="0"/>
          <w:sz w:val="32"/>
          <w:szCs w:val="32"/>
        </w:rPr>
      </w:pPr>
    </w:p>
    <w:p w:rsidR="00091BD9" w:rsidRDefault="00091BD9" w:rsidP="00091BD9">
      <w:pPr>
        <w:spacing w:line="579" w:lineRule="exact"/>
        <w:jc w:val="center"/>
        <w:rPr>
          <w:rFonts w:ascii="黑体" w:eastAsia="黑体" w:hAnsi="黑体" w:cs="黑体" w:hint="eastAsia"/>
          <w:kern w:val="0"/>
          <w:sz w:val="32"/>
          <w:szCs w:val="32"/>
        </w:rPr>
      </w:pPr>
      <w:r>
        <w:rPr>
          <w:rFonts w:ascii="黑体" w:eastAsia="黑体" w:hAnsi="黑体" w:cs="黑体" w:hint="eastAsia"/>
          <w:kern w:val="0"/>
          <w:sz w:val="32"/>
          <w:szCs w:val="32"/>
        </w:rPr>
        <w:t>第一章   总则</w:t>
      </w:r>
    </w:p>
    <w:p w:rsidR="00091BD9" w:rsidRDefault="00091BD9" w:rsidP="00091BD9">
      <w:pPr>
        <w:widowControl/>
        <w:spacing w:line="579" w:lineRule="exact"/>
        <w:ind w:firstLineChars="200" w:firstLine="640"/>
        <w:rPr>
          <w:rFonts w:ascii="仿宋_GB2312" w:eastAsia="仿宋_GB2312" w:hint="eastAsia"/>
          <w:sz w:val="32"/>
          <w:szCs w:val="32"/>
        </w:rPr>
      </w:pPr>
      <w:r>
        <w:rPr>
          <w:rFonts w:ascii="仿宋_GB2312" w:eastAsia="仿宋_GB2312" w:hint="eastAsia"/>
          <w:b/>
          <w:bCs/>
          <w:sz w:val="32"/>
          <w:szCs w:val="32"/>
        </w:rPr>
        <w:t>第一条</w:t>
      </w:r>
      <w:r>
        <w:rPr>
          <w:rFonts w:ascii="仿宋_GB2312" w:eastAsia="仿宋_GB2312" w:hint="eastAsia"/>
          <w:sz w:val="32"/>
          <w:szCs w:val="32"/>
        </w:rPr>
        <w:t xml:space="preserve"> 根据《宁波市鄞州区人民政府办公室关于深入推进美丽宜居村建设专项行动的实施意见》（</w:t>
      </w:r>
      <w:proofErr w:type="gramStart"/>
      <w:r>
        <w:rPr>
          <w:rFonts w:ascii="仿宋_GB2312" w:eastAsia="仿宋_GB2312" w:hint="eastAsia"/>
          <w:sz w:val="32"/>
          <w:szCs w:val="32"/>
        </w:rPr>
        <w:t>鄞</w:t>
      </w:r>
      <w:proofErr w:type="gramEnd"/>
      <w:r>
        <w:rPr>
          <w:rFonts w:ascii="仿宋_GB2312" w:eastAsia="仿宋_GB2312" w:hint="eastAsia"/>
          <w:sz w:val="32"/>
          <w:szCs w:val="32"/>
        </w:rPr>
        <w:t>政办发〔2018〕88号）精神，设立“美丽乡村分类创建”专项资金（以下简称专项资金）。为加强专项资金管理，提高资金使用绩效，根据《宁波市鄞州区人民政府办公室关于印发鄞州区财政专项资金管理办法的通知》（</w:t>
      </w:r>
      <w:proofErr w:type="gramStart"/>
      <w:r>
        <w:rPr>
          <w:rFonts w:ascii="仿宋_GB2312" w:eastAsia="仿宋_GB2312" w:hint="eastAsia"/>
          <w:sz w:val="32"/>
          <w:szCs w:val="32"/>
        </w:rPr>
        <w:t>鄞</w:t>
      </w:r>
      <w:proofErr w:type="gramEnd"/>
      <w:r>
        <w:rPr>
          <w:rFonts w:ascii="仿宋_GB2312" w:eastAsia="仿宋_GB2312" w:hint="eastAsia"/>
          <w:sz w:val="32"/>
          <w:szCs w:val="32"/>
        </w:rPr>
        <w:t>政办发〔2012〕206号）精神，特制定本办法。</w:t>
      </w:r>
    </w:p>
    <w:p w:rsidR="00091BD9" w:rsidRDefault="00091BD9" w:rsidP="00091BD9">
      <w:pPr>
        <w:widowControl/>
        <w:spacing w:line="579" w:lineRule="exact"/>
        <w:ind w:firstLineChars="200" w:firstLine="640"/>
        <w:rPr>
          <w:rFonts w:ascii="仿宋_GB2312" w:eastAsia="仿宋_GB2312" w:hint="eastAsia"/>
          <w:sz w:val="32"/>
          <w:szCs w:val="32"/>
        </w:rPr>
      </w:pPr>
      <w:r>
        <w:rPr>
          <w:rFonts w:ascii="仿宋_GB2312" w:eastAsia="仿宋_GB2312" w:hint="eastAsia"/>
          <w:b/>
          <w:bCs/>
          <w:sz w:val="32"/>
          <w:szCs w:val="32"/>
        </w:rPr>
        <w:t>第二条</w:t>
      </w:r>
      <w:r>
        <w:rPr>
          <w:rFonts w:ascii="仿宋_GB2312" w:eastAsia="仿宋_GB2312" w:hint="eastAsia"/>
          <w:sz w:val="32"/>
          <w:szCs w:val="32"/>
        </w:rPr>
        <w:t xml:space="preserve"> 本办法所称专项资金是指市、区两级财政预算安排用于美丽乡村分类创建的专项资金。</w:t>
      </w:r>
    </w:p>
    <w:p w:rsidR="00091BD9" w:rsidRDefault="00091BD9" w:rsidP="00091BD9">
      <w:pPr>
        <w:widowControl/>
        <w:spacing w:line="579" w:lineRule="exact"/>
        <w:ind w:firstLineChars="200" w:firstLine="640"/>
        <w:rPr>
          <w:rFonts w:ascii="仿宋_GB2312" w:eastAsia="仿宋_GB2312" w:hint="eastAsia"/>
          <w:sz w:val="32"/>
          <w:szCs w:val="32"/>
        </w:rPr>
      </w:pPr>
      <w:r>
        <w:rPr>
          <w:rFonts w:ascii="仿宋_GB2312" w:eastAsia="仿宋_GB2312" w:hint="eastAsia"/>
          <w:b/>
          <w:bCs/>
          <w:sz w:val="32"/>
          <w:szCs w:val="32"/>
        </w:rPr>
        <w:t>第三条</w:t>
      </w:r>
      <w:r>
        <w:rPr>
          <w:rFonts w:ascii="仿宋_GB2312" w:eastAsia="仿宋_GB2312" w:hint="eastAsia"/>
          <w:sz w:val="32"/>
          <w:szCs w:val="32"/>
        </w:rPr>
        <w:t xml:space="preserve"> 专项资金的管理和使用遵循“公开透明、定向使用、科学管理、加强监督”的原则。</w:t>
      </w:r>
    </w:p>
    <w:p w:rsidR="00091BD9" w:rsidRDefault="00091BD9" w:rsidP="00091BD9">
      <w:pPr>
        <w:widowControl/>
        <w:spacing w:line="579" w:lineRule="exact"/>
        <w:jc w:val="center"/>
        <w:rPr>
          <w:rFonts w:ascii="黑体" w:eastAsia="黑体" w:hAnsi="黑体" w:cs="黑体" w:hint="eastAsia"/>
          <w:bCs/>
          <w:snapToGrid w:val="0"/>
          <w:kern w:val="0"/>
          <w:sz w:val="32"/>
          <w:szCs w:val="32"/>
        </w:rPr>
      </w:pPr>
      <w:r>
        <w:rPr>
          <w:rFonts w:ascii="黑体" w:eastAsia="黑体" w:hAnsi="黑体" w:cs="黑体" w:hint="eastAsia"/>
          <w:bCs/>
          <w:snapToGrid w:val="0"/>
          <w:kern w:val="0"/>
          <w:sz w:val="32"/>
          <w:szCs w:val="32"/>
        </w:rPr>
        <w:t>第二章 使用范围及对象</w:t>
      </w:r>
    </w:p>
    <w:p w:rsidR="00091BD9" w:rsidRDefault="00091BD9" w:rsidP="00091BD9">
      <w:pPr>
        <w:spacing w:line="579" w:lineRule="exact"/>
        <w:ind w:firstLineChars="200" w:firstLine="640"/>
        <w:rPr>
          <w:rFonts w:ascii="仿宋_GB2312" w:eastAsia="仿宋_GB2312" w:hint="eastAsia"/>
          <w:sz w:val="32"/>
          <w:szCs w:val="32"/>
        </w:rPr>
      </w:pPr>
      <w:r>
        <w:rPr>
          <w:rFonts w:ascii="仿宋_GB2312" w:eastAsia="仿宋_GB2312" w:hint="eastAsia"/>
          <w:b/>
          <w:bCs/>
          <w:sz w:val="32"/>
          <w:szCs w:val="32"/>
        </w:rPr>
        <w:t>第四条</w:t>
      </w:r>
      <w:r>
        <w:rPr>
          <w:rFonts w:ascii="仿宋_GB2312" w:eastAsia="仿宋_GB2312" w:hint="eastAsia"/>
          <w:sz w:val="32"/>
          <w:szCs w:val="32"/>
        </w:rPr>
        <w:t xml:space="preserve"> 专项资金使用范围：</w:t>
      </w:r>
    </w:p>
    <w:p w:rsidR="00091BD9" w:rsidRDefault="00091BD9" w:rsidP="00091BD9">
      <w:pPr>
        <w:spacing w:line="579" w:lineRule="exact"/>
        <w:ind w:firstLineChars="200" w:firstLine="640"/>
        <w:rPr>
          <w:rFonts w:ascii="仿宋_GB2312" w:eastAsia="仿宋_GB2312" w:hint="eastAsia"/>
          <w:sz w:val="32"/>
          <w:szCs w:val="32"/>
        </w:rPr>
      </w:pPr>
      <w:r>
        <w:rPr>
          <w:rFonts w:ascii="仿宋_GB2312" w:eastAsia="仿宋_GB2312" w:hAnsi="宋体" w:hint="eastAsia"/>
          <w:sz w:val="32"/>
          <w:szCs w:val="32"/>
        </w:rPr>
        <w:t>（一）</w:t>
      </w:r>
      <w:r>
        <w:rPr>
          <w:rFonts w:ascii="仿宋_GB2312" w:eastAsia="仿宋_GB2312" w:hint="eastAsia"/>
          <w:sz w:val="32"/>
          <w:szCs w:val="32"/>
        </w:rPr>
        <w:t>用于对美丽乡村创建中达标的示范村、风景线和示范镇的奖补；</w:t>
      </w:r>
    </w:p>
    <w:p w:rsidR="00091BD9" w:rsidRDefault="00091BD9" w:rsidP="00091BD9">
      <w:pPr>
        <w:spacing w:line="579" w:lineRule="exact"/>
        <w:ind w:firstLineChars="200" w:firstLine="640"/>
        <w:rPr>
          <w:rFonts w:ascii="仿宋_GB2312" w:eastAsia="仿宋_GB2312" w:hint="eastAsia"/>
          <w:sz w:val="32"/>
          <w:szCs w:val="32"/>
        </w:rPr>
      </w:pPr>
      <w:r>
        <w:rPr>
          <w:rFonts w:ascii="仿宋_GB2312" w:eastAsia="仿宋_GB2312" w:hint="eastAsia"/>
          <w:sz w:val="32"/>
          <w:szCs w:val="32"/>
        </w:rPr>
        <w:t>（二）用于委托第三方检查、测评、绩效评估及活动等费用。</w:t>
      </w:r>
    </w:p>
    <w:p w:rsidR="00091BD9" w:rsidRDefault="00091BD9" w:rsidP="00091BD9">
      <w:pPr>
        <w:spacing w:line="579" w:lineRule="exact"/>
        <w:jc w:val="center"/>
        <w:rPr>
          <w:rFonts w:ascii="黑体" w:eastAsia="黑体" w:hAnsi="黑体" w:cs="黑体" w:hint="eastAsia"/>
          <w:bCs/>
          <w:snapToGrid w:val="0"/>
          <w:kern w:val="0"/>
          <w:sz w:val="32"/>
          <w:szCs w:val="32"/>
        </w:rPr>
      </w:pPr>
      <w:r>
        <w:rPr>
          <w:rFonts w:ascii="黑体" w:eastAsia="黑体" w:hAnsi="黑体" w:cs="黑体" w:hint="eastAsia"/>
          <w:bCs/>
          <w:snapToGrid w:val="0"/>
          <w:kern w:val="0"/>
          <w:sz w:val="32"/>
          <w:szCs w:val="32"/>
        </w:rPr>
        <w:t>第三章  补助标准</w:t>
      </w:r>
    </w:p>
    <w:p w:rsidR="00091BD9" w:rsidRDefault="00091BD9" w:rsidP="00091BD9">
      <w:pPr>
        <w:spacing w:line="579" w:lineRule="exact"/>
        <w:ind w:firstLineChars="200" w:firstLine="640"/>
        <w:rPr>
          <w:rFonts w:ascii="仿宋_GB2312" w:eastAsia="仿宋_GB2312" w:hAnsi="宋体" w:hint="eastAsia"/>
          <w:sz w:val="32"/>
          <w:szCs w:val="32"/>
        </w:rPr>
      </w:pPr>
      <w:r>
        <w:rPr>
          <w:rFonts w:ascii="仿宋_GB2312" w:eastAsia="仿宋_GB2312" w:hAnsi="宋体" w:hint="eastAsia"/>
          <w:b/>
          <w:snapToGrid w:val="0"/>
          <w:kern w:val="0"/>
          <w:sz w:val="32"/>
          <w:szCs w:val="32"/>
        </w:rPr>
        <w:t>第五条</w:t>
      </w:r>
      <w:r>
        <w:rPr>
          <w:rFonts w:ascii="仿宋_GB2312" w:eastAsia="仿宋_GB2312" w:hAnsi="宋体" w:hint="eastAsia"/>
          <w:bCs/>
          <w:snapToGrid w:val="0"/>
          <w:kern w:val="0"/>
          <w:sz w:val="32"/>
          <w:szCs w:val="32"/>
        </w:rPr>
        <w:t xml:space="preserve"> </w:t>
      </w:r>
      <w:r>
        <w:rPr>
          <w:rFonts w:ascii="仿宋_GB2312" w:eastAsia="仿宋_GB2312" w:hAnsi="仿宋" w:hint="eastAsia"/>
          <w:sz w:val="32"/>
          <w:szCs w:val="32"/>
        </w:rPr>
        <w:t>统筹市、区</w:t>
      </w:r>
      <w:proofErr w:type="gramStart"/>
      <w:r>
        <w:rPr>
          <w:rFonts w:ascii="仿宋_GB2312" w:eastAsia="仿宋_GB2312" w:hAnsi="仿宋" w:hint="eastAsia"/>
          <w:sz w:val="32"/>
          <w:szCs w:val="32"/>
        </w:rPr>
        <w:t>财政奖补资金</w:t>
      </w:r>
      <w:proofErr w:type="gramEnd"/>
      <w:r>
        <w:rPr>
          <w:rFonts w:ascii="仿宋_GB2312" w:eastAsia="仿宋_GB2312" w:hAnsi="仿宋" w:hint="eastAsia"/>
          <w:sz w:val="32"/>
          <w:szCs w:val="32"/>
        </w:rPr>
        <w:t>，对验收合格的市级美丽乡村示</w:t>
      </w:r>
      <w:r>
        <w:rPr>
          <w:rFonts w:ascii="仿宋_GB2312" w:eastAsia="仿宋_GB2312" w:hint="eastAsia"/>
          <w:sz w:val="32"/>
          <w:szCs w:val="32"/>
        </w:rPr>
        <w:t>范村、风景线和示范镇</w:t>
      </w:r>
      <w:r>
        <w:rPr>
          <w:rFonts w:ascii="仿宋_GB2312" w:eastAsia="仿宋_GB2312" w:hAnsi="仿宋" w:hint="eastAsia"/>
          <w:sz w:val="32"/>
          <w:szCs w:val="32"/>
        </w:rPr>
        <w:t>，分别给予200万元、600</w:t>
      </w:r>
      <w:r>
        <w:rPr>
          <w:rFonts w:ascii="仿宋_GB2312" w:eastAsia="仿宋_GB2312" w:hAnsi="仿宋" w:hint="eastAsia"/>
          <w:sz w:val="32"/>
          <w:szCs w:val="32"/>
        </w:rPr>
        <w:lastRenderedPageBreak/>
        <w:t>万元、600万元的补助；</w:t>
      </w:r>
      <w:r>
        <w:rPr>
          <w:rFonts w:ascii="仿宋_GB2312" w:eastAsia="仿宋_GB2312" w:hint="eastAsia"/>
          <w:sz w:val="32"/>
          <w:szCs w:val="32"/>
        </w:rPr>
        <w:t>对已列入区美丽宜居村，并享受村庄整理改造补助的</w:t>
      </w:r>
      <w:proofErr w:type="gramStart"/>
      <w:r>
        <w:rPr>
          <w:rFonts w:ascii="仿宋_GB2312" w:eastAsia="仿宋_GB2312" w:hint="eastAsia"/>
          <w:sz w:val="32"/>
          <w:szCs w:val="32"/>
        </w:rPr>
        <w:t>市美丽</w:t>
      </w:r>
      <w:proofErr w:type="gramEnd"/>
      <w:r>
        <w:rPr>
          <w:rFonts w:ascii="仿宋_GB2312" w:eastAsia="仿宋_GB2312" w:hint="eastAsia"/>
          <w:sz w:val="32"/>
          <w:szCs w:val="32"/>
        </w:rPr>
        <w:t>乡村示范村创建村，验收合格后，</w:t>
      </w:r>
      <w:proofErr w:type="gramStart"/>
      <w:r>
        <w:rPr>
          <w:rFonts w:ascii="仿宋_GB2312" w:eastAsia="仿宋_GB2312" w:hint="eastAsia"/>
          <w:sz w:val="32"/>
          <w:szCs w:val="32"/>
        </w:rPr>
        <w:t>仅享受</w:t>
      </w:r>
      <w:proofErr w:type="gramEnd"/>
      <w:r>
        <w:rPr>
          <w:rFonts w:ascii="仿宋_GB2312" w:eastAsia="仿宋_GB2312" w:hint="eastAsia"/>
          <w:sz w:val="32"/>
          <w:szCs w:val="32"/>
        </w:rPr>
        <w:t>市</w:t>
      </w:r>
      <w:proofErr w:type="gramStart"/>
      <w:r>
        <w:rPr>
          <w:rFonts w:ascii="仿宋_GB2312" w:eastAsia="仿宋_GB2312" w:hint="eastAsia"/>
          <w:sz w:val="32"/>
          <w:szCs w:val="32"/>
        </w:rPr>
        <w:t>财政奖补资金</w:t>
      </w:r>
      <w:proofErr w:type="gramEnd"/>
      <w:r>
        <w:rPr>
          <w:rFonts w:ascii="仿宋_GB2312" w:eastAsia="仿宋_GB2312" w:hint="eastAsia"/>
          <w:sz w:val="32"/>
          <w:szCs w:val="32"/>
        </w:rPr>
        <w:t>100万元。</w:t>
      </w:r>
    </w:p>
    <w:p w:rsidR="00091BD9" w:rsidRDefault="00091BD9" w:rsidP="00091BD9">
      <w:pPr>
        <w:spacing w:line="579" w:lineRule="exact"/>
        <w:jc w:val="center"/>
        <w:rPr>
          <w:rFonts w:ascii="黑体" w:eastAsia="黑体" w:hAnsi="黑体" w:cs="黑体" w:hint="eastAsia"/>
          <w:kern w:val="0"/>
          <w:sz w:val="32"/>
          <w:szCs w:val="32"/>
        </w:rPr>
      </w:pPr>
      <w:r>
        <w:rPr>
          <w:rFonts w:ascii="黑体" w:eastAsia="黑体" w:hAnsi="黑体" w:cs="黑体" w:hint="eastAsia"/>
          <w:sz w:val="32"/>
          <w:szCs w:val="32"/>
        </w:rPr>
        <w:t xml:space="preserve">第四章  </w:t>
      </w:r>
      <w:r>
        <w:rPr>
          <w:rFonts w:ascii="黑体" w:eastAsia="黑体" w:hAnsi="黑体" w:cs="黑体" w:hint="eastAsia"/>
          <w:kern w:val="0"/>
          <w:sz w:val="32"/>
          <w:szCs w:val="32"/>
        </w:rPr>
        <w:t>资金拨付程序</w:t>
      </w:r>
    </w:p>
    <w:p w:rsidR="00091BD9" w:rsidRDefault="00091BD9" w:rsidP="00091BD9">
      <w:pPr>
        <w:spacing w:line="579" w:lineRule="exact"/>
        <w:ind w:firstLineChars="200" w:firstLine="640"/>
        <w:rPr>
          <w:rFonts w:ascii="仿宋_GB2312" w:eastAsia="仿宋_GB2312" w:hint="eastAsia"/>
          <w:sz w:val="32"/>
          <w:szCs w:val="32"/>
        </w:rPr>
      </w:pPr>
      <w:r>
        <w:rPr>
          <w:rFonts w:ascii="仿宋_GB2312" w:eastAsia="仿宋_GB2312" w:hAnsi="宋体" w:hint="eastAsia"/>
          <w:b/>
          <w:bCs/>
          <w:snapToGrid w:val="0"/>
          <w:kern w:val="0"/>
          <w:sz w:val="32"/>
          <w:szCs w:val="32"/>
        </w:rPr>
        <w:t>第六条</w:t>
      </w:r>
      <w:r>
        <w:rPr>
          <w:rFonts w:ascii="仿宋_GB2312" w:eastAsia="仿宋_GB2312" w:hAnsi="宋体" w:hint="eastAsia"/>
          <w:bCs/>
          <w:snapToGrid w:val="0"/>
          <w:kern w:val="0"/>
          <w:sz w:val="32"/>
          <w:szCs w:val="32"/>
        </w:rPr>
        <w:t xml:space="preserve"> 经市“百村示范、千村整治”工作协商小组办公室验收合格并发文公布后，由区农业农村局</w:t>
      </w:r>
      <w:proofErr w:type="gramStart"/>
      <w:r>
        <w:rPr>
          <w:rFonts w:ascii="仿宋_GB2312" w:eastAsia="仿宋_GB2312" w:hAnsi="宋体" w:hint="eastAsia"/>
          <w:bCs/>
          <w:snapToGrid w:val="0"/>
          <w:kern w:val="0"/>
          <w:sz w:val="32"/>
          <w:szCs w:val="32"/>
        </w:rPr>
        <w:t>提出奖补资金</w:t>
      </w:r>
      <w:proofErr w:type="gramEnd"/>
      <w:r>
        <w:rPr>
          <w:rFonts w:ascii="仿宋_GB2312" w:eastAsia="仿宋_GB2312" w:hAnsi="宋体" w:hint="eastAsia"/>
          <w:bCs/>
          <w:snapToGrid w:val="0"/>
          <w:kern w:val="0"/>
          <w:sz w:val="32"/>
          <w:szCs w:val="32"/>
        </w:rPr>
        <w:t>分配方案，经</w:t>
      </w:r>
      <w:r>
        <w:rPr>
          <w:rFonts w:ascii="仿宋_GB2312" w:eastAsia="仿宋_GB2312" w:hint="eastAsia"/>
          <w:sz w:val="32"/>
          <w:szCs w:val="32"/>
        </w:rPr>
        <w:t>区财政局审核同意后予以公示。</w:t>
      </w:r>
    </w:p>
    <w:p w:rsidR="00091BD9" w:rsidRDefault="00091BD9" w:rsidP="00091BD9">
      <w:pPr>
        <w:spacing w:line="579" w:lineRule="exact"/>
        <w:ind w:firstLineChars="200" w:firstLine="640"/>
        <w:rPr>
          <w:rFonts w:ascii="仿宋_GB2312" w:eastAsia="仿宋_GB2312" w:hAnsi="宋体" w:cs="宋体" w:hint="eastAsia"/>
          <w:kern w:val="0"/>
          <w:sz w:val="32"/>
          <w:szCs w:val="32"/>
        </w:rPr>
      </w:pPr>
      <w:r>
        <w:rPr>
          <w:rFonts w:ascii="仿宋_GB2312" w:eastAsia="仿宋_GB2312" w:hint="eastAsia"/>
          <w:b/>
          <w:bCs/>
          <w:sz w:val="32"/>
          <w:szCs w:val="32"/>
        </w:rPr>
        <w:t>第七条</w:t>
      </w:r>
      <w:r>
        <w:rPr>
          <w:rFonts w:ascii="仿宋_GB2312" w:eastAsia="仿宋_GB2312" w:hint="eastAsia"/>
          <w:sz w:val="32"/>
          <w:szCs w:val="32"/>
        </w:rPr>
        <w:t xml:space="preserve"> 公示无异议的，区农业农村、财政部门联合下发文件，将补助资金拨付给各镇人民政府，各镇根据区资金拨付文件，及时将资金下拨到补助对象。</w:t>
      </w:r>
    </w:p>
    <w:p w:rsidR="00091BD9" w:rsidRDefault="00091BD9" w:rsidP="00091BD9">
      <w:pPr>
        <w:spacing w:line="579" w:lineRule="exact"/>
        <w:jc w:val="center"/>
        <w:rPr>
          <w:rFonts w:ascii="黑体" w:eastAsia="黑体" w:hAnsi="黑体" w:cs="黑体" w:hint="eastAsia"/>
          <w:kern w:val="0"/>
          <w:sz w:val="32"/>
          <w:szCs w:val="32"/>
        </w:rPr>
      </w:pPr>
      <w:r>
        <w:rPr>
          <w:rFonts w:ascii="黑体" w:eastAsia="黑体" w:hAnsi="黑体" w:cs="黑体" w:hint="eastAsia"/>
          <w:kern w:val="0"/>
          <w:sz w:val="32"/>
          <w:szCs w:val="32"/>
        </w:rPr>
        <w:t>第五章   监督与管理</w:t>
      </w:r>
    </w:p>
    <w:p w:rsidR="00091BD9" w:rsidRDefault="00091BD9" w:rsidP="00091BD9">
      <w:pPr>
        <w:spacing w:line="579" w:lineRule="exact"/>
        <w:ind w:firstLineChars="200" w:firstLine="640"/>
        <w:rPr>
          <w:rFonts w:ascii="仿宋_GB2312" w:eastAsia="仿宋_GB2312" w:hAnsi="宋体" w:hint="eastAsia"/>
          <w:snapToGrid w:val="0"/>
          <w:sz w:val="32"/>
          <w:szCs w:val="32"/>
        </w:rPr>
      </w:pPr>
      <w:r>
        <w:rPr>
          <w:rFonts w:ascii="仿宋_GB2312" w:eastAsia="仿宋_GB2312" w:hAnsi="宋体" w:hint="eastAsia"/>
          <w:b/>
          <w:bCs/>
          <w:snapToGrid w:val="0"/>
          <w:kern w:val="0"/>
          <w:sz w:val="32"/>
          <w:szCs w:val="32"/>
        </w:rPr>
        <w:t>第八条</w:t>
      </w:r>
      <w:r>
        <w:rPr>
          <w:rFonts w:ascii="仿宋_GB2312" w:eastAsia="仿宋_GB2312" w:hAnsi="宋体" w:hint="eastAsia"/>
          <w:snapToGrid w:val="0"/>
          <w:kern w:val="0"/>
          <w:sz w:val="32"/>
          <w:szCs w:val="32"/>
        </w:rPr>
        <w:t xml:space="preserve"> 专项资金在有关政策法规以及财务规章制度规定的范围内使用，做到专款专用，并接受农业农村、审计、财政、监察部门的监督、检查。</w:t>
      </w:r>
    </w:p>
    <w:p w:rsidR="00091BD9" w:rsidRDefault="00091BD9" w:rsidP="00091BD9">
      <w:pPr>
        <w:spacing w:line="579" w:lineRule="exact"/>
        <w:ind w:firstLineChars="200" w:firstLine="640"/>
        <w:rPr>
          <w:rFonts w:ascii="仿宋_GB2312" w:eastAsia="仿宋_GB2312" w:hAnsi="宋体" w:cs="宋体" w:hint="eastAsia"/>
          <w:kern w:val="0"/>
          <w:sz w:val="32"/>
          <w:szCs w:val="32"/>
        </w:rPr>
      </w:pPr>
      <w:r>
        <w:rPr>
          <w:rFonts w:ascii="仿宋_GB2312" w:eastAsia="仿宋_GB2312" w:hAnsi="宋体" w:cs="宋体" w:hint="eastAsia"/>
          <w:b/>
          <w:bCs/>
          <w:kern w:val="0"/>
          <w:sz w:val="32"/>
          <w:szCs w:val="32"/>
        </w:rPr>
        <w:t>第九条</w:t>
      </w:r>
      <w:r>
        <w:rPr>
          <w:rFonts w:ascii="仿宋_GB2312" w:eastAsia="仿宋_GB2312" w:hAnsi="宋体" w:cs="宋体" w:hint="eastAsia"/>
          <w:kern w:val="0"/>
          <w:sz w:val="32"/>
          <w:szCs w:val="32"/>
        </w:rPr>
        <w:t xml:space="preserve"> 在申请认定过程中如隐瞒真实情况、提供虚假信息或采取其它方法骗取补助的，一经查实，按《财政违法行为处罚处分条例》规定进行处理。</w:t>
      </w:r>
    </w:p>
    <w:p w:rsidR="00091BD9" w:rsidRDefault="00091BD9" w:rsidP="00091BD9">
      <w:pPr>
        <w:spacing w:line="579" w:lineRule="exact"/>
        <w:ind w:firstLineChars="200" w:firstLine="640"/>
        <w:rPr>
          <w:rFonts w:ascii="仿宋_GB2312" w:eastAsia="仿宋_GB2312" w:hAnsi="宋体" w:cs="宋体" w:hint="eastAsia"/>
          <w:kern w:val="0"/>
          <w:sz w:val="32"/>
          <w:szCs w:val="32"/>
        </w:rPr>
      </w:pPr>
      <w:r>
        <w:rPr>
          <w:rFonts w:ascii="仿宋_GB2312" w:eastAsia="仿宋_GB2312" w:hAnsi="宋体" w:cs="宋体" w:hint="eastAsia"/>
          <w:b/>
          <w:bCs/>
          <w:kern w:val="0"/>
          <w:sz w:val="32"/>
          <w:szCs w:val="32"/>
        </w:rPr>
        <w:t>第十条</w:t>
      </w:r>
      <w:r>
        <w:rPr>
          <w:rFonts w:ascii="仿宋_GB2312" w:eastAsia="仿宋_GB2312" w:hAnsi="宋体" w:cs="宋体" w:hint="eastAsia"/>
          <w:kern w:val="0"/>
          <w:sz w:val="32"/>
          <w:szCs w:val="32"/>
        </w:rPr>
        <w:t xml:space="preserve"> 区农业农村局负责专项资金的日常管理工作，并适时进行专项资金的绩效评价，确保专项资金使用取得成效。</w:t>
      </w:r>
    </w:p>
    <w:p w:rsidR="00091BD9" w:rsidRDefault="00091BD9" w:rsidP="00091BD9">
      <w:pPr>
        <w:spacing w:line="579" w:lineRule="exact"/>
        <w:jc w:val="center"/>
        <w:rPr>
          <w:rFonts w:ascii="仿宋_GB2312" w:eastAsia="仿宋_GB2312" w:hAnsi="宋体" w:cs="宋体" w:hint="eastAsia"/>
          <w:kern w:val="0"/>
          <w:sz w:val="32"/>
          <w:szCs w:val="32"/>
        </w:rPr>
      </w:pPr>
      <w:r>
        <w:rPr>
          <w:rFonts w:ascii="黑体" w:eastAsia="黑体" w:hAnsi="黑体" w:cs="黑体" w:hint="eastAsia"/>
          <w:kern w:val="0"/>
          <w:sz w:val="32"/>
          <w:szCs w:val="32"/>
        </w:rPr>
        <w:t>第六章   附则</w:t>
      </w:r>
    </w:p>
    <w:p w:rsidR="00091BD9" w:rsidRDefault="00091BD9" w:rsidP="00091BD9">
      <w:pPr>
        <w:spacing w:line="579" w:lineRule="exact"/>
        <w:ind w:firstLineChars="200" w:firstLine="616"/>
        <w:rPr>
          <w:rFonts w:ascii="仿宋_GB2312" w:eastAsia="仿宋_GB2312" w:hAnsi="宋体" w:hint="eastAsia"/>
          <w:snapToGrid w:val="0"/>
          <w:spacing w:val="-6"/>
          <w:kern w:val="0"/>
          <w:sz w:val="32"/>
          <w:szCs w:val="32"/>
        </w:rPr>
      </w:pPr>
      <w:r>
        <w:rPr>
          <w:rFonts w:ascii="仿宋_GB2312" w:eastAsia="仿宋_GB2312" w:hAnsi="宋体" w:hint="eastAsia"/>
          <w:b/>
          <w:bCs/>
          <w:snapToGrid w:val="0"/>
          <w:spacing w:val="-6"/>
          <w:kern w:val="0"/>
          <w:sz w:val="32"/>
          <w:szCs w:val="32"/>
        </w:rPr>
        <w:t>第十一条</w:t>
      </w:r>
      <w:r>
        <w:rPr>
          <w:rFonts w:ascii="仿宋_GB2312" w:eastAsia="仿宋_GB2312" w:hAnsi="宋体" w:hint="eastAsia"/>
          <w:snapToGrid w:val="0"/>
          <w:spacing w:val="-6"/>
          <w:kern w:val="0"/>
          <w:sz w:val="32"/>
          <w:szCs w:val="32"/>
        </w:rPr>
        <w:t xml:space="preserve"> 本办法所涉补助、奖励资金按年初预算安排发放，若超过年初预算，则按比例下调兑现标准。本政策实施中如遇上级政策调整，按上级政策执行。</w:t>
      </w:r>
    </w:p>
    <w:p w:rsidR="00091BD9" w:rsidRDefault="00091BD9" w:rsidP="00091BD9">
      <w:pPr>
        <w:spacing w:line="579" w:lineRule="exact"/>
        <w:ind w:firstLineChars="200" w:firstLine="616"/>
        <w:rPr>
          <w:rFonts w:ascii="仿宋_GB2312" w:eastAsia="仿宋_GB2312" w:hAnsi="宋体" w:cs="宋体" w:hint="eastAsia"/>
          <w:color w:val="333333"/>
          <w:spacing w:val="-6"/>
          <w:kern w:val="0"/>
          <w:sz w:val="32"/>
          <w:szCs w:val="32"/>
        </w:rPr>
      </w:pPr>
      <w:r>
        <w:rPr>
          <w:rFonts w:ascii="仿宋_GB2312" w:eastAsia="仿宋_GB2312" w:hAnsi="宋体" w:hint="eastAsia"/>
          <w:b/>
          <w:bCs/>
          <w:snapToGrid w:val="0"/>
          <w:spacing w:val="-6"/>
          <w:kern w:val="0"/>
          <w:sz w:val="32"/>
          <w:szCs w:val="32"/>
        </w:rPr>
        <w:lastRenderedPageBreak/>
        <w:t>第十二条</w:t>
      </w:r>
      <w:r>
        <w:rPr>
          <w:rFonts w:ascii="仿宋_GB2312" w:eastAsia="仿宋_GB2312" w:hAnsi="宋体" w:hint="eastAsia"/>
          <w:snapToGrid w:val="0"/>
          <w:spacing w:val="-6"/>
          <w:kern w:val="0"/>
          <w:sz w:val="32"/>
          <w:szCs w:val="32"/>
        </w:rPr>
        <w:t xml:space="preserve"> </w:t>
      </w:r>
      <w:r>
        <w:rPr>
          <w:rFonts w:ascii="仿宋_GB2312" w:eastAsia="仿宋_GB2312" w:hAnsi="宋体" w:cs="宋体" w:hint="eastAsia"/>
          <w:color w:val="333333"/>
          <w:spacing w:val="-6"/>
          <w:kern w:val="0"/>
          <w:sz w:val="32"/>
          <w:szCs w:val="32"/>
        </w:rPr>
        <w:t>本办法由区农业农村局、区财政局负责解释。</w:t>
      </w:r>
    </w:p>
    <w:p w:rsidR="00091BD9" w:rsidRDefault="00091BD9" w:rsidP="00091BD9">
      <w:pPr>
        <w:spacing w:line="579" w:lineRule="exact"/>
        <w:ind w:firstLineChars="200" w:firstLine="616"/>
        <w:rPr>
          <w:rFonts w:ascii="仿宋_GB2312" w:eastAsia="仿宋_GB2312" w:hAnsi="宋体" w:cs="宋体" w:hint="eastAsia"/>
          <w:color w:val="333333"/>
          <w:spacing w:val="-6"/>
          <w:kern w:val="0"/>
          <w:sz w:val="32"/>
          <w:szCs w:val="32"/>
        </w:rPr>
      </w:pPr>
      <w:r>
        <w:rPr>
          <w:rFonts w:ascii="仿宋_GB2312" w:eastAsia="仿宋_GB2312" w:hAnsi="宋体" w:cs="宋体" w:hint="eastAsia"/>
          <w:b/>
          <w:bCs/>
          <w:color w:val="333333"/>
          <w:spacing w:val="-6"/>
          <w:kern w:val="0"/>
          <w:sz w:val="32"/>
          <w:szCs w:val="32"/>
        </w:rPr>
        <w:t>第十三条</w:t>
      </w:r>
      <w:r>
        <w:rPr>
          <w:rFonts w:ascii="仿宋_GB2312" w:eastAsia="仿宋_GB2312" w:hAnsi="宋体" w:cs="宋体" w:hint="eastAsia"/>
          <w:color w:val="333333"/>
          <w:spacing w:val="-6"/>
          <w:kern w:val="0"/>
          <w:sz w:val="32"/>
          <w:szCs w:val="32"/>
        </w:rPr>
        <w:t xml:space="preserve"> 本办法自正式发文之日起开始执行。</w:t>
      </w:r>
    </w:p>
    <w:p w:rsidR="00091BD9" w:rsidRDefault="00091BD9" w:rsidP="00091BD9"/>
    <w:p w:rsidR="00FE40FC" w:rsidRPr="00091BD9" w:rsidRDefault="00FE40FC"/>
    <w:sectPr w:rsidR="00FE40FC" w:rsidRPr="00091BD9">
      <w:footerReference w:type="default" r:id="rId4"/>
      <w:pgSz w:w="11906" w:h="16838"/>
      <w:pgMar w:top="1440" w:right="1800" w:bottom="1440" w:left="1800" w:header="851" w:footer="992" w:gutter="0"/>
      <w:cols w:space="720"/>
      <w:docGrid w:type="lines" w:linePitch="31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33266">
    <w:pPr>
      <w:pStyle w:val="a3"/>
    </w:pPr>
    <w:r>
      <w:pict>
        <v:shapetype id="_x0000_t202" coordsize="21600,21600" o:spt="202" path="m,l,21600r21600,l21600,xe">
          <v:stroke joinstyle="miter"/>
          <v:path gradientshapeok="t" o:connecttype="rect"/>
        </v:shapetype>
        <v:shape id="文本框 5" o:spid="_x0000_s1025" type="#_x0000_t202" style="position:absolute;margin-left:104pt;margin-top:0;width:2in;height:2in;z-index:251660288;mso-wrap-style:none;mso-position-horizontal:outside;mso-position-horizontal-relative:margin" filled="f" stroked="f">
          <v:textbox style="mso-fit-shape-to-text:t" inset="0,0,0,0">
            <w:txbxContent>
              <w:p w:rsidR="00000000" w:rsidRDefault="00233266">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91BD9">
                  <w:rPr>
                    <w:noProof/>
                    <w:sz w:val="18"/>
                  </w:rPr>
                  <w:t>2</w:t>
                </w:r>
                <w:r>
                  <w:rPr>
                    <w:rFonts w:hint="eastAsia"/>
                    <w:sz w:val="18"/>
                  </w:rPr>
                  <w:fldChar w:fldCharType="end"/>
                </w:r>
              </w:p>
            </w:txbxContent>
          </v:textbox>
          <w10:wrap anchorx="margin"/>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091BD9"/>
    <w:rsid w:val="00091BD9"/>
    <w:rsid w:val="0016269E"/>
    <w:rsid w:val="00213DAB"/>
    <w:rsid w:val="00233266"/>
    <w:rsid w:val="00502FD9"/>
    <w:rsid w:val="00846ABD"/>
    <w:rsid w:val="00846B74"/>
    <w:rsid w:val="00BE13E8"/>
    <w:rsid w:val="00ED6ECF"/>
    <w:rsid w:val="00FE40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BD9"/>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091BD9"/>
    <w:pPr>
      <w:tabs>
        <w:tab w:val="center" w:pos="4153"/>
        <w:tab w:val="right" w:pos="8306"/>
      </w:tabs>
      <w:snapToGrid w:val="0"/>
      <w:jc w:val="left"/>
    </w:pPr>
    <w:rPr>
      <w:sz w:val="18"/>
      <w:szCs w:val="18"/>
    </w:rPr>
  </w:style>
  <w:style w:type="character" w:customStyle="1" w:styleId="Char">
    <w:name w:val="页脚 Char"/>
    <w:basedOn w:val="a0"/>
    <w:link w:val="a3"/>
    <w:rsid w:val="00091BD9"/>
    <w:rPr>
      <w:rFonts w:ascii="Times New Roman" w:hAnsi="Times New Roman"/>
      <w:kern w:val="2"/>
      <w:sz w:val="18"/>
      <w:szCs w:val="18"/>
    </w:rPr>
  </w:style>
  <w:style w:type="paragraph" w:customStyle="1" w:styleId="Char0">
    <w:name w:val="Char"/>
    <w:basedOn w:val="a"/>
    <w:rsid w:val="00091BD9"/>
    <w:pPr>
      <w:widowControl/>
      <w:spacing w:after="160" w:line="360" w:lineRule="auto"/>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Words>
  <Characters>837</Characters>
  <Application>Microsoft Office Word</Application>
  <DocSecurity>0</DocSecurity>
  <Lines>6</Lines>
  <Paragraphs>1</Paragraphs>
  <ScaleCrop>false</ScaleCrop>
  <Company>China</Company>
  <LinksUpToDate>false</LinksUpToDate>
  <CharactersWithSpaces>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2019-12-31T01:09:00Z</dcterms:created>
  <dcterms:modified xsi:type="dcterms:W3CDTF">2019-12-31T01:09:00Z</dcterms:modified>
</cp:coreProperties>
</file>