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cs="黑体"/>
          <w:kern w:val="0"/>
          <w:sz w:val="48"/>
          <w:szCs w:val="48"/>
          <w:lang w:bidi="zh-CN"/>
        </w:rPr>
      </w:pPr>
      <w:r>
        <w:rPr>
          <w:rFonts w:ascii="黑体" w:hAnsi="黑体" w:eastAsia="黑体" w:cs="黑体"/>
          <w:kern w:val="0"/>
          <w:sz w:val="48"/>
          <w:szCs w:val="48"/>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5719445" cy="8910955"/>
                <wp:effectExtent l="0" t="0" r="14605" b="23495"/>
                <wp:wrapTopAndBottom/>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719445" cy="8910955"/>
                        </a:xfrm>
                        <a:prstGeom prst="rect">
                          <a:avLst/>
                        </a:prstGeom>
                        <a:noFill/>
                        <a:ln w="6097">
                          <a:solidFill>
                            <a:srgbClr val="000000"/>
                          </a:solidFill>
                          <a:miter lim="800000"/>
                        </a:ln>
                      </wps:spPr>
                      <wps:txbx>
                        <w:txbxContent>
                          <w:p>
                            <w:pPr>
                              <w:pStyle w:val="7"/>
                              <w:spacing w:before="5"/>
                              <w:rPr>
                                <w:rFonts w:ascii="黑体"/>
                                <w:sz w:val="59"/>
                              </w:rPr>
                            </w:pPr>
                          </w:p>
                          <w:p>
                            <w:pPr>
                              <w:pStyle w:val="7"/>
                              <w:spacing w:before="5"/>
                              <w:rPr>
                                <w:rFonts w:ascii="黑体"/>
                                <w:sz w:val="59"/>
                              </w:rPr>
                            </w:pPr>
                          </w:p>
                          <w:p>
                            <w:pPr>
                              <w:pStyle w:val="7"/>
                              <w:spacing w:before="5"/>
                              <w:rPr>
                                <w:rFonts w:ascii="黑体"/>
                                <w:sz w:val="59"/>
                              </w:rPr>
                            </w:pPr>
                          </w:p>
                          <w:p>
                            <w:pPr>
                              <w:spacing w:line="336" w:lineRule="auto"/>
                              <w:ind w:right="74"/>
                              <w:jc w:val="center"/>
                              <w:rPr>
                                <w:rFonts w:ascii="黑体" w:eastAsia="黑体"/>
                                <w:spacing w:val="-1"/>
                                <w:sz w:val="48"/>
                              </w:rPr>
                            </w:pPr>
                            <w:r>
                              <w:rPr>
                                <w:rFonts w:hint="eastAsia" w:ascii="黑体" w:eastAsia="黑体"/>
                                <w:sz w:val="48"/>
                              </w:rPr>
                              <w:t>宁波</w:t>
                            </w:r>
                            <w:r>
                              <w:rPr>
                                <w:rFonts w:hint="eastAsia" w:ascii="黑体" w:eastAsia="黑体"/>
                                <w:spacing w:val="-2"/>
                                <w:sz w:val="48"/>
                              </w:rPr>
                              <w:t>市鄞州区2021年</w:t>
                            </w:r>
                            <w:r>
                              <w:rPr>
                                <w:rFonts w:hint="eastAsia" w:ascii="黑体" w:eastAsia="黑体"/>
                                <w:spacing w:val="-6"/>
                                <w:sz w:val="48"/>
                              </w:rPr>
                              <w:t>土地征收</w:t>
                            </w:r>
                            <w:r>
                              <w:rPr>
                                <w:rFonts w:hint="eastAsia" w:ascii="黑体" w:eastAsia="黑体"/>
                                <w:spacing w:val="-1"/>
                                <w:sz w:val="48"/>
                              </w:rPr>
                              <w:t>成片</w:t>
                            </w:r>
                          </w:p>
                          <w:p>
                            <w:pPr>
                              <w:spacing w:line="336" w:lineRule="auto"/>
                              <w:ind w:right="74"/>
                              <w:jc w:val="center"/>
                              <w:rPr>
                                <w:rFonts w:ascii="黑体" w:eastAsia="黑体"/>
                                <w:sz w:val="48"/>
                              </w:rPr>
                            </w:pPr>
                            <w:r>
                              <w:rPr>
                                <w:rFonts w:hint="eastAsia" w:ascii="黑体" w:eastAsia="黑体"/>
                                <w:spacing w:val="-1"/>
                                <w:sz w:val="48"/>
                              </w:rPr>
                              <w:t>开发方案</w:t>
                            </w:r>
                          </w:p>
                          <w:p>
                            <w:pPr>
                              <w:spacing w:line="417" w:lineRule="exact"/>
                              <w:ind w:left="24"/>
                              <w:jc w:val="center"/>
                              <w:rPr>
                                <w:rFonts w:ascii="楷体" w:hAnsi="楷体" w:eastAsia="楷体"/>
                                <w:sz w:val="36"/>
                              </w:rPr>
                            </w:pPr>
                            <w:r>
                              <w:rPr>
                                <w:rFonts w:hint="eastAsia" w:ascii="楷体" w:hAnsi="楷体" w:eastAsia="楷体" w:cs="宋体"/>
                                <w:sz w:val="36"/>
                              </w:rPr>
                              <w:t>（总体概述）</w:t>
                            </w: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spacing w:before="1"/>
                              <w:rPr>
                                <w:rFonts w:ascii="黑体"/>
                                <w:sz w:val="47"/>
                                <w:lang w:val="en-US"/>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701.65pt;width:450.35pt;mso-position-horizontal:center;mso-position-horizontal-relative:margin;mso-wrap-distance-bottom:0pt;mso-wrap-distance-top:0pt;z-index:-251657216;mso-width-relative:page;mso-height-relative:page;" filled="f" stroked="t" coordsize="21600,21600" o:gfxdata="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CQwJNUAAAAGAQAADwAAAAAAAAABACAAAAAiAAAAZHJzL2Rvd25yZXYueG1s&#10;UEsBAhQAFAAAAAgAh07iQKF/KQE0AgAATwQAAA4AAAAAAAAAAQAgAAAAJAEAAGRycy9lMm9Eb2Mu&#10;eG1sUEsFBgAAAAAGAAYAWQEAAMoFAAAAAA==&#10;">
                <v:fill on="f" focussize="0,0"/>
                <v:stroke weight="0.48007874015748pt" color="#000000" miterlimit="8" joinstyle="miter"/>
                <v:imagedata o:title=""/>
                <o:lock v:ext="edit" aspectratio="f"/>
                <v:textbox inset="0mm,0mm,0mm,0mm">
                  <w:txbxContent>
                    <w:p>
                      <w:pPr>
                        <w:pStyle w:val="7"/>
                        <w:spacing w:before="5"/>
                        <w:rPr>
                          <w:rFonts w:ascii="黑体"/>
                          <w:sz w:val="59"/>
                        </w:rPr>
                      </w:pPr>
                    </w:p>
                    <w:p>
                      <w:pPr>
                        <w:pStyle w:val="7"/>
                        <w:spacing w:before="5"/>
                        <w:rPr>
                          <w:rFonts w:ascii="黑体"/>
                          <w:sz w:val="59"/>
                        </w:rPr>
                      </w:pPr>
                    </w:p>
                    <w:p>
                      <w:pPr>
                        <w:pStyle w:val="7"/>
                        <w:spacing w:before="5"/>
                        <w:rPr>
                          <w:rFonts w:ascii="黑体"/>
                          <w:sz w:val="59"/>
                        </w:rPr>
                      </w:pPr>
                    </w:p>
                    <w:p>
                      <w:pPr>
                        <w:spacing w:line="336" w:lineRule="auto"/>
                        <w:ind w:right="74"/>
                        <w:jc w:val="center"/>
                        <w:rPr>
                          <w:rFonts w:ascii="黑体" w:eastAsia="黑体"/>
                          <w:spacing w:val="-1"/>
                          <w:sz w:val="48"/>
                        </w:rPr>
                      </w:pPr>
                      <w:r>
                        <w:rPr>
                          <w:rFonts w:hint="eastAsia" w:ascii="黑体" w:eastAsia="黑体"/>
                          <w:sz w:val="48"/>
                        </w:rPr>
                        <w:t>宁波</w:t>
                      </w:r>
                      <w:r>
                        <w:rPr>
                          <w:rFonts w:hint="eastAsia" w:ascii="黑体" w:eastAsia="黑体"/>
                          <w:spacing w:val="-2"/>
                          <w:sz w:val="48"/>
                        </w:rPr>
                        <w:t>市鄞州区2021年</w:t>
                      </w:r>
                      <w:r>
                        <w:rPr>
                          <w:rFonts w:hint="eastAsia" w:ascii="黑体" w:eastAsia="黑体"/>
                          <w:spacing w:val="-6"/>
                          <w:sz w:val="48"/>
                        </w:rPr>
                        <w:t>土地征收</w:t>
                      </w:r>
                      <w:r>
                        <w:rPr>
                          <w:rFonts w:hint="eastAsia" w:ascii="黑体" w:eastAsia="黑体"/>
                          <w:spacing w:val="-1"/>
                          <w:sz w:val="48"/>
                        </w:rPr>
                        <w:t>成片</w:t>
                      </w:r>
                    </w:p>
                    <w:p>
                      <w:pPr>
                        <w:spacing w:line="336" w:lineRule="auto"/>
                        <w:ind w:right="74"/>
                        <w:jc w:val="center"/>
                        <w:rPr>
                          <w:rFonts w:ascii="黑体" w:eastAsia="黑体"/>
                          <w:sz w:val="48"/>
                        </w:rPr>
                      </w:pPr>
                      <w:r>
                        <w:rPr>
                          <w:rFonts w:hint="eastAsia" w:ascii="黑体" w:eastAsia="黑体"/>
                          <w:spacing w:val="-1"/>
                          <w:sz w:val="48"/>
                        </w:rPr>
                        <w:t>开发方案</w:t>
                      </w:r>
                    </w:p>
                    <w:p>
                      <w:pPr>
                        <w:spacing w:line="417" w:lineRule="exact"/>
                        <w:ind w:left="24"/>
                        <w:jc w:val="center"/>
                        <w:rPr>
                          <w:rFonts w:ascii="楷体" w:hAnsi="楷体" w:eastAsia="楷体"/>
                          <w:sz w:val="36"/>
                        </w:rPr>
                      </w:pPr>
                      <w:r>
                        <w:rPr>
                          <w:rFonts w:hint="eastAsia" w:ascii="楷体" w:hAnsi="楷体" w:eastAsia="楷体" w:cs="宋体"/>
                          <w:sz w:val="36"/>
                        </w:rPr>
                        <w:t>（总体概述）</w:t>
                      </w: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rPr>
                          <w:rFonts w:ascii="黑体"/>
                          <w:sz w:val="34"/>
                          <w:lang w:val="en-US"/>
                        </w:rPr>
                      </w:pPr>
                    </w:p>
                    <w:p>
                      <w:pPr>
                        <w:pStyle w:val="7"/>
                        <w:spacing w:before="1"/>
                        <w:rPr>
                          <w:rFonts w:ascii="黑体"/>
                          <w:sz w:val="47"/>
                          <w:lang w:val="en-US"/>
                        </w:rPr>
                      </w:pPr>
                    </w:p>
                  </w:txbxContent>
                </v:textbox>
                <w10:wrap type="topAndBottom"/>
              </v:shape>
            </w:pict>
          </mc:Fallback>
        </mc:AlternateContent>
      </w:r>
      <w:r>
        <w:rPr>
          <w:rFonts w:ascii="黑体" w:hAnsi="黑体" w:eastAsia="黑体" w:cs="黑体"/>
          <w:kern w:val="0"/>
          <w:sz w:val="48"/>
          <w:szCs w:val="48"/>
          <w:lang w:bidi="zh-CN"/>
        </w:rPr>
        <w:br w:type="page"/>
      </w:r>
    </w:p>
    <w:sdt>
      <w:sdtPr>
        <w:rPr>
          <w:rFonts w:asciiTheme="minorHAnsi" w:hAnsiTheme="minorHAnsi" w:eastAsiaTheme="minorEastAsia" w:cstheme="minorBidi"/>
          <w:color w:val="auto"/>
          <w:kern w:val="2"/>
          <w:sz w:val="21"/>
          <w:szCs w:val="24"/>
          <w:lang w:val="zh-CN"/>
        </w:rPr>
        <w:id w:val="-1513757690"/>
        <w:docPartObj>
          <w:docPartGallery w:val="Table of Contents"/>
          <w:docPartUnique/>
        </w:docPartObj>
      </w:sdtPr>
      <w:sdtEndPr>
        <w:rPr>
          <w:rFonts w:asciiTheme="minorHAnsi" w:hAnsiTheme="minorHAnsi" w:eastAsiaTheme="minorEastAsia" w:cstheme="minorBidi"/>
          <w:b/>
          <w:bCs/>
          <w:color w:val="auto"/>
          <w:kern w:val="2"/>
          <w:sz w:val="52"/>
          <w:szCs w:val="24"/>
          <w:lang w:val="zh-CN"/>
        </w:rPr>
      </w:sdtEndPr>
      <w:sdtContent>
        <w:p>
          <w:pPr>
            <w:pStyle w:val="29"/>
            <w:jc w:val="center"/>
            <w:rPr>
              <w:lang w:val="zh-CN"/>
            </w:rPr>
          </w:pPr>
          <w:r>
            <w:rPr>
              <w:lang w:val="zh-CN"/>
            </w:rPr>
            <w:t>目</w:t>
          </w:r>
          <w:r>
            <w:rPr>
              <w:rFonts w:hint="eastAsia"/>
              <w:lang w:val="zh-CN"/>
            </w:rPr>
            <w:t xml:space="preserve"> </w:t>
          </w:r>
          <w:r>
            <w:rPr>
              <w:lang w:val="zh-CN"/>
            </w:rPr>
            <w:t xml:space="preserve"> 录</w:t>
          </w:r>
        </w:p>
        <w:p>
          <w:pPr>
            <w:rPr>
              <w:lang w:val="zh-CN"/>
            </w:rPr>
          </w:pPr>
        </w:p>
        <w:p>
          <w:pPr>
            <w:pStyle w:val="11"/>
            <w:tabs>
              <w:tab w:val="right" w:leader="dot" w:pos="8300"/>
            </w:tabs>
            <w:spacing w:line="276" w:lineRule="auto"/>
            <w:rPr>
              <w:sz w:val="28"/>
              <w:szCs w:val="22"/>
            </w:rPr>
          </w:pPr>
          <w:r>
            <w:rPr>
              <w:sz w:val="52"/>
            </w:rPr>
            <w:fldChar w:fldCharType="begin"/>
          </w:r>
          <w:r>
            <w:rPr>
              <w:sz w:val="52"/>
            </w:rPr>
            <w:instrText xml:space="preserve"> TOC \o "1-3" \h \z \u </w:instrText>
          </w:r>
          <w:r>
            <w:rPr>
              <w:sz w:val="52"/>
            </w:rPr>
            <w:fldChar w:fldCharType="separate"/>
          </w:r>
          <w:r>
            <w:fldChar w:fldCharType="begin"/>
          </w:r>
          <w:r>
            <w:instrText xml:space="preserve"> HYPERLINK \l "_Toc86252584" </w:instrText>
          </w:r>
          <w:r>
            <w:fldChar w:fldCharType="separate"/>
          </w:r>
          <w:r>
            <w:rPr>
              <w:rStyle w:val="17"/>
              <w:rFonts w:hint="eastAsia" w:ascii="黑体" w:eastAsia="黑体"/>
              <w:kern w:val="0"/>
              <w:sz w:val="28"/>
              <w:lang w:bidi="zh-CN"/>
            </w:rPr>
            <w:t>一、 背景与区域概况</w:t>
          </w:r>
          <w:r>
            <w:rPr>
              <w:sz w:val="28"/>
            </w:rPr>
            <w:tab/>
          </w:r>
          <w:r>
            <w:rPr>
              <w:sz w:val="28"/>
            </w:rPr>
            <w:fldChar w:fldCharType="begin"/>
          </w:r>
          <w:r>
            <w:rPr>
              <w:sz w:val="28"/>
            </w:rPr>
            <w:instrText xml:space="preserve"> PAGEREF _Toc86252584 \h </w:instrText>
          </w:r>
          <w:r>
            <w:rPr>
              <w:sz w:val="28"/>
            </w:rPr>
            <w:fldChar w:fldCharType="separate"/>
          </w:r>
          <w:r>
            <w:rPr>
              <w:sz w:val="28"/>
            </w:rPr>
            <w:t>1</w:t>
          </w:r>
          <w:r>
            <w:rPr>
              <w:sz w:val="28"/>
            </w:rPr>
            <w:fldChar w:fldCharType="end"/>
          </w:r>
          <w:r>
            <w:rPr>
              <w:sz w:val="28"/>
            </w:rPr>
            <w:fldChar w:fldCharType="end"/>
          </w:r>
        </w:p>
        <w:p>
          <w:pPr>
            <w:pStyle w:val="12"/>
            <w:tabs>
              <w:tab w:val="left" w:pos="1050"/>
              <w:tab w:val="right" w:leader="dot" w:pos="8300"/>
            </w:tabs>
            <w:spacing w:line="276" w:lineRule="auto"/>
            <w:rPr>
              <w:sz w:val="28"/>
              <w:szCs w:val="22"/>
            </w:rPr>
          </w:pPr>
          <w:r>
            <w:fldChar w:fldCharType="begin"/>
          </w:r>
          <w:r>
            <w:instrText xml:space="preserve"> HYPERLINK \l "_Toc86252585" </w:instrText>
          </w:r>
          <w:r>
            <w:fldChar w:fldCharType="separate"/>
          </w:r>
          <w:r>
            <w:rPr>
              <w:rStyle w:val="17"/>
              <w:rFonts w:hint="eastAsia" w:ascii="仿宋_GB2312" w:hAnsi="仿宋_GB2312" w:eastAsia="仿宋_GB2312" w:cs="仿宋_GB2312"/>
              <w:kern w:val="0"/>
              <w:sz w:val="28"/>
              <w:lang w:bidi="zh-CN"/>
            </w:rPr>
            <w:t>(一)</w:t>
          </w:r>
          <w:r>
            <w:rPr>
              <w:sz w:val="28"/>
              <w:szCs w:val="22"/>
            </w:rPr>
            <w:tab/>
          </w:r>
          <w:r>
            <w:rPr>
              <w:rStyle w:val="17"/>
              <w:rFonts w:hint="eastAsia" w:ascii="仿宋_GB2312" w:hAnsi="仿宋_GB2312" w:eastAsia="仿宋_GB2312" w:cs="仿宋_GB2312"/>
              <w:kern w:val="0"/>
              <w:sz w:val="28"/>
              <w:lang w:bidi="zh-CN"/>
            </w:rPr>
            <w:t>编制背景</w:t>
          </w:r>
          <w:r>
            <w:rPr>
              <w:sz w:val="28"/>
            </w:rPr>
            <w:tab/>
          </w:r>
          <w:r>
            <w:rPr>
              <w:sz w:val="28"/>
            </w:rPr>
            <w:fldChar w:fldCharType="begin"/>
          </w:r>
          <w:r>
            <w:rPr>
              <w:sz w:val="28"/>
            </w:rPr>
            <w:instrText xml:space="preserve"> PAGEREF _Toc86252585 \h </w:instrText>
          </w:r>
          <w:r>
            <w:rPr>
              <w:sz w:val="28"/>
            </w:rPr>
            <w:fldChar w:fldCharType="separate"/>
          </w:r>
          <w:r>
            <w:rPr>
              <w:sz w:val="28"/>
            </w:rPr>
            <w:t>1</w:t>
          </w:r>
          <w:r>
            <w:rPr>
              <w:sz w:val="28"/>
            </w:rPr>
            <w:fldChar w:fldCharType="end"/>
          </w:r>
          <w:r>
            <w:rPr>
              <w:sz w:val="28"/>
            </w:rPr>
            <w:fldChar w:fldCharType="end"/>
          </w:r>
        </w:p>
        <w:p>
          <w:pPr>
            <w:pStyle w:val="12"/>
            <w:tabs>
              <w:tab w:val="left" w:pos="1050"/>
              <w:tab w:val="right" w:leader="dot" w:pos="8300"/>
            </w:tabs>
            <w:spacing w:line="276" w:lineRule="auto"/>
            <w:rPr>
              <w:sz w:val="28"/>
              <w:szCs w:val="22"/>
            </w:rPr>
          </w:pPr>
          <w:r>
            <w:fldChar w:fldCharType="begin"/>
          </w:r>
          <w:r>
            <w:instrText xml:space="preserve"> HYPERLINK \l "_Toc86252586" </w:instrText>
          </w:r>
          <w:r>
            <w:fldChar w:fldCharType="separate"/>
          </w:r>
          <w:r>
            <w:rPr>
              <w:rStyle w:val="17"/>
              <w:rFonts w:hint="eastAsia" w:ascii="仿宋_GB2312" w:hAnsi="仿宋_GB2312" w:eastAsia="仿宋_GB2312" w:cs="仿宋_GB2312"/>
              <w:kern w:val="0"/>
              <w:sz w:val="28"/>
              <w:lang w:bidi="zh-CN"/>
            </w:rPr>
            <w:t>(二)</w:t>
          </w:r>
          <w:r>
            <w:rPr>
              <w:sz w:val="28"/>
              <w:szCs w:val="22"/>
            </w:rPr>
            <w:tab/>
          </w:r>
          <w:r>
            <w:rPr>
              <w:rStyle w:val="17"/>
              <w:rFonts w:hint="eastAsia" w:ascii="仿宋_GB2312" w:hAnsi="仿宋_GB2312" w:eastAsia="仿宋_GB2312" w:cs="仿宋_GB2312"/>
              <w:kern w:val="0"/>
              <w:sz w:val="28"/>
              <w:lang w:bidi="zh-CN"/>
            </w:rPr>
            <w:t>编制意义</w:t>
          </w:r>
          <w:r>
            <w:rPr>
              <w:sz w:val="28"/>
            </w:rPr>
            <w:tab/>
          </w:r>
          <w:r>
            <w:rPr>
              <w:sz w:val="28"/>
            </w:rPr>
            <w:fldChar w:fldCharType="begin"/>
          </w:r>
          <w:r>
            <w:rPr>
              <w:sz w:val="28"/>
            </w:rPr>
            <w:instrText xml:space="preserve"> PAGEREF _Toc86252586 \h </w:instrText>
          </w:r>
          <w:r>
            <w:rPr>
              <w:sz w:val="28"/>
            </w:rPr>
            <w:fldChar w:fldCharType="separate"/>
          </w:r>
          <w:r>
            <w:rPr>
              <w:sz w:val="28"/>
            </w:rPr>
            <w:t>1</w:t>
          </w:r>
          <w:r>
            <w:rPr>
              <w:sz w:val="28"/>
            </w:rPr>
            <w:fldChar w:fldCharType="end"/>
          </w:r>
          <w:r>
            <w:rPr>
              <w:sz w:val="28"/>
            </w:rPr>
            <w:fldChar w:fldCharType="end"/>
          </w:r>
        </w:p>
        <w:p>
          <w:pPr>
            <w:pStyle w:val="12"/>
            <w:tabs>
              <w:tab w:val="left" w:pos="1050"/>
              <w:tab w:val="right" w:leader="dot" w:pos="8300"/>
            </w:tabs>
            <w:spacing w:line="276" w:lineRule="auto"/>
            <w:rPr>
              <w:sz w:val="28"/>
              <w:szCs w:val="22"/>
            </w:rPr>
          </w:pPr>
          <w:r>
            <w:fldChar w:fldCharType="begin"/>
          </w:r>
          <w:r>
            <w:instrText xml:space="preserve"> HYPERLINK \l "_Toc86252587" </w:instrText>
          </w:r>
          <w:r>
            <w:fldChar w:fldCharType="separate"/>
          </w:r>
          <w:r>
            <w:rPr>
              <w:rStyle w:val="17"/>
              <w:rFonts w:hint="eastAsia" w:ascii="仿宋_GB2312" w:hAnsi="仿宋_GB2312" w:eastAsia="仿宋_GB2312" w:cs="仿宋_GB2312"/>
              <w:kern w:val="0"/>
              <w:sz w:val="28"/>
              <w:lang w:bidi="zh-CN"/>
            </w:rPr>
            <w:t>(三)</w:t>
          </w:r>
          <w:r>
            <w:rPr>
              <w:sz w:val="28"/>
              <w:szCs w:val="22"/>
            </w:rPr>
            <w:tab/>
          </w:r>
          <w:r>
            <w:rPr>
              <w:rStyle w:val="17"/>
              <w:rFonts w:hint="eastAsia" w:ascii="仿宋_GB2312" w:hAnsi="仿宋_GB2312" w:eastAsia="仿宋_GB2312" w:cs="仿宋_GB2312"/>
              <w:kern w:val="0"/>
              <w:sz w:val="28"/>
              <w:lang w:bidi="zh-CN"/>
            </w:rPr>
            <w:t>编制依据</w:t>
          </w:r>
          <w:r>
            <w:rPr>
              <w:sz w:val="28"/>
            </w:rPr>
            <w:tab/>
          </w:r>
          <w:r>
            <w:rPr>
              <w:sz w:val="28"/>
            </w:rPr>
            <w:fldChar w:fldCharType="begin"/>
          </w:r>
          <w:r>
            <w:rPr>
              <w:sz w:val="28"/>
            </w:rPr>
            <w:instrText xml:space="preserve"> PAGEREF _Toc86252587 \h </w:instrText>
          </w:r>
          <w:r>
            <w:rPr>
              <w:sz w:val="28"/>
            </w:rPr>
            <w:fldChar w:fldCharType="separate"/>
          </w:r>
          <w:r>
            <w:rPr>
              <w:sz w:val="28"/>
            </w:rPr>
            <w:t>3</w:t>
          </w:r>
          <w:r>
            <w:rPr>
              <w:sz w:val="28"/>
            </w:rPr>
            <w:fldChar w:fldCharType="end"/>
          </w:r>
          <w:r>
            <w:rPr>
              <w:sz w:val="28"/>
            </w:rPr>
            <w:fldChar w:fldCharType="end"/>
          </w:r>
        </w:p>
        <w:p>
          <w:pPr>
            <w:pStyle w:val="12"/>
            <w:tabs>
              <w:tab w:val="left" w:pos="1050"/>
              <w:tab w:val="right" w:leader="dot" w:pos="8300"/>
            </w:tabs>
            <w:spacing w:line="276" w:lineRule="auto"/>
            <w:rPr>
              <w:sz w:val="28"/>
              <w:szCs w:val="22"/>
            </w:rPr>
          </w:pPr>
          <w:r>
            <w:fldChar w:fldCharType="begin"/>
          </w:r>
          <w:r>
            <w:instrText xml:space="preserve"> HYPERLINK \l "_Toc86252588" </w:instrText>
          </w:r>
          <w:r>
            <w:fldChar w:fldCharType="separate"/>
          </w:r>
          <w:r>
            <w:rPr>
              <w:rStyle w:val="17"/>
              <w:rFonts w:hint="eastAsia" w:ascii="仿宋_GB2312" w:hAnsi="仿宋_GB2312" w:eastAsia="仿宋_GB2312" w:cs="仿宋_GB2312"/>
              <w:kern w:val="0"/>
              <w:sz w:val="28"/>
              <w:lang w:bidi="zh-CN"/>
            </w:rPr>
            <w:t>(四)</w:t>
          </w:r>
          <w:r>
            <w:rPr>
              <w:sz w:val="28"/>
              <w:szCs w:val="22"/>
            </w:rPr>
            <w:tab/>
          </w:r>
          <w:r>
            <w:rPr>
              <w:rStyle w:val="17"/>
              <w:rFonts w:hint="eastAsia" w:ascii="仿宋_GB2312" w:hAnsi="仿宋_GB2312" w:eastAsia="仿宋_GB2312" w:cs="仿宋_GB2312"/>
              <w:kern w:val="0"/>
              <w:sz w:val="28"/>
              <w:lang w:bidi="zh-CN"/>
            </w:rPr>
            <w:t>区域概况</w:t>
          </w:r>
          <w:r>
            <w:rPr>
              <w:sz w:val="28"/>
            </w:rPr>
            <w:tab/>
          </w:r>
          <w:r>
            <w:rPr>
              <w:sz w:val="28"/>
            </w:rPr>
            <w:fldChar w:fldCharType="begin"/>
          </w:r>
          <w:r>
            <w:rPr>
              <w:sz w:val="28"/>
            </w:rPr>
            <w:instrText xml:space="preserve"> PAGEREF _Toc86252588 \h </w:instrText>
          </w:r>
          <w:r>
            <w:rPr>
              <w:sz w:val="28"/>
            </w:rPr>
            <w:fldChar w:fldCharType="separate"/>
          </w:r>
          <w:r>
            <w:rPr>
              <w:sz w:val="28"/>
            </w:rPr>
            <w:t>4</w:t>
          </w:r>
          <w:r>
            <w:rPr>
              <w:sz w:val="28"/>
            </w:rPr>
            <w:fldChar w:fldCharType="end"/>
          </w:r>
          <w:r>
            <w:rPr>
              <w:sz w:val="28"/>
            </w:rPr>
            <w:fldChar w:fldCharType="end"/>
          </w:r>
        </w:p>
        <w:p>
          <w:pPr>
            <w:pStyle w:val="12"/>
            <w:tabs>
              <w:tab w:val="left" w:pos="1050"/>
              <w:tab w:val="right" w:leader="dot" w:pos="8300"/>
            </w:tabs>
            <w:spacing w:line="276" w:lineRule="auto"/>
            <w:rPr>
              <w:sz w:val="28"/>
              <w:szCs w:val="22"/>
            </w:rPr>
          </w:pPr>
          <w:r>
            <w:fldChar w:fldCharType="begin"/>
          </w:r>
          <w:r>
            <w:instrText xml:space="preserve"> HYPERLINK \l "_Toc86252589" </w:instrText>
          </w:r>
          <w:r>
            <w:fldChar w:fldCharType="separate"/>
          </w:r>
          <w:r>
            <w:rPr>
              <w:rStyle w:val="17"/>
              <w:rFonts w:hint="eastAsia" w:ascii="仿宋_GB2312" w:hAnsi="仿宋_GB2312" w:eastAsia="仿宋_GB2312" w:cs="仿宋_GB2312"/>
              <w:kern w:val="0"/>
              <w:sz w:val="28"/>
              <w:lang w:bidi="zh-CN"/>
            </w:rPr>
            <w:t>(五)</w:t>
          </w:r>
          <w:r>
            <w:rPr>
              <w:sz w:val="28"/>
              <w:szCs w:val="22"/>
            </w:rPr>
            <w:tab/>
          </w:r>
          <w:r>
            <w:rPr>
              <w:rStyle w:val="17"/>
              <w:rFonts w:hint="eastAsia" w:ascii="仿宋_GB2312" w:hAnsi="仿宋_GB2312" w:eastAsia="仿宋_GB2312" w:cs="仿宋_GB2312"/>
              <w:kern w:val="0"/>
              <w:sz w:val="28"/>
              <w:lang w:bidi="zh-CN"/>
            </w:rPr>
            <w:t>土地节约集约利用水平</w:t>
          </w:r>
          <w:r>
            <w:rPr>
              <w:sz w:val="28"/>
            </w:rPr>
            <w:tab/>
          </w:r>
          <w:r>
            <w:rPr>
              <w:sz w:val="28"/>
            </w:rPr>
            <w:fldChar w:fldCharType="begin"/>
          </w:r>
          <w:r>
            <w:rPr>
              <w:sz w:val="28"/>
            </w:rPr>
            <w:instrText xml:space="preserve"> PAGEREF _Toc86252589 \h </w:instrText>
          </w:r>
          <w:r>
            <w:rPr>
              <w:sz w:val="28"/>
            </w:rPr>
            <w:fldChar w:fldCharType="separate"/>
          </w:r>
          <w:r>
            <w:rPr>
              <w:sz w:val="28"/>
            </w:rPr>
            <w:t>5</w:t>
          </w:r>
          <w:r>
            <w:rPr>
              <w:sz w:val="28"/>
            </w:rPr>
            <w:fldChar w:fldCharType="end"/>
          </w:r>
          <w:r>
            <w:rPr>
              <w:sz w:val="28"/>
            </w:rPr>
            <w:fldChar w:fldCharType="end"/>
          </w:r>
        </w:p>
        <w:p>
          <w:pPr>
            <w:pStyle w:val="12"/>
            <w:tabs>
              <w:tab w:val="left" w:pos="1050"/>
              <w:tab w:val="right" w:leader="dot" w:pos="8300"/>
            </w:tabs>
            <w:spacing w:line="276" w:lineRule="auto"/>
            <w:rPr>
              <w:sz w:val="28"/>
              <w:szCs w:val="22"/>
            </w:rPr>
          </w:pPr>
          <w:r>
            <w:fldChar w:fldCharType="begin"/>
          </w:r>
          <w:r>
            <w:instrText xml:space="preserve"> HYPERLINK \l "_Toc86252590" </w:instrText>
          </w:r>
          <w:r>
            <w:fldChar w:fldCharType="separate"/>
          </w:r>
          <w:r>
            <w:rPr>
              <w:rStyle w:val="17"/>
              <w:rFonts w:hint="eastAsia" w:ascii="仿宋_GB2312" w:hAnsi="仿宋_GB2312" w:eastAsia="仿宋_GB2312" w:cs="仿宋_GB2312"/>
              <w:kern w:val="0"/>
              <w:sz w:val="28"/>
              <w:lang w:bidi="zh-CN"/>
            </w:rPr>
            <w:t>(六)</w:t>
          </w:r>
          <w:r>
            <w:rPr>
              <w:sz w:val="28"/>
              <w:szCs w:val="22"/>
            </w:rPr>
            <w:tab/>
          </w:r>
          <w:r>
            <w:rPr>
              <w:rStyle w:val="17"/>
              <w:rFonts w:hint="eastAsia" w:ascii="仿宋_GB2312" w:hAnsi="仿宋_GB2312" w:eastAsia="仿宋_GB2312" w:cs="仿宋_GB2312"/>
              <w:kern w:val="0"/>
              <w:sz w:val="28"/>
              <w:lang w:bidi="zh-CN"/>
            </w:rPr>
            <w:t>财力状况及资金保证能力</w:t>
          </w:r>
          <w:r>
            <w:rPr>
              <w:sz w:val="28"/>
            </w:rPr>
            <w:tab/>
          </w:r>
          <w:r>
            <w:rPr>
              <w:sz w:val="28"/>
            </w:rPr>
            <w:fldChar w:fldCharType="begin"/>
          </w:r>
          <w:r>
            <w:rPr>
              <w:sz w:val="28"/>
            </w:rPr>
            <w:instrText xml:space="preserve"> PAGEREF _Toc86252590 \h </w:instrText>
          </w:r>
          <w:r>
            <w:rPr>
              <w:sz w:val="28"/>
            </w:rPr>
            <w:fldChar w:fldCharType="separate"/>
          </w:r>
          <w:r>
            <w:rPr>
              <w:sz w:val="28"/>
            </w:rPr>
            <w:t>6</w:t>
          </w:r>
          <w:r>
            <w:rPr>
              <w:sz w:val="28"/>
            </w:rPr>
            <w:fldChar w:fldCharType="end"/>
          </w:r>
          <w:r>
            <w:rPr>
              <w:sz w:val="28"/>
            </w:rPr>
            <w:fldChar w:fldCharType="end"/>
          </w:r>
        </w:p>
        <w:p>
          <w:pPr>
            <w:pStyle w:val="11"/>
            <w:tabs>
              <w:tab w:val="right" w:leader="dot" w:pos="8300"/>
            </w:tabs>
            <w:spacing w:line="276" w:lineRule="auto"/>
            <w:rPr>
              <w:sz w:val="28"/>
              <w:szCs w:val="22"/>
            </w:rPr>
          </w:pPr>
          <w:r>
            <w:fldChar w:fldCharType="begin"/>
          </w:r>
          <w:r>
            <w:instrText xml:space="preserve"> HYPERLINK \l "_Toc86252591" </w:instrText>
          </w:r>
          <w:r>
            <w:fldChar w:fldCharType="separate"/>
          </w:r>
          <w:r>
            <w:rPr>
              <w:rStyle w:val="17"/>
              <w:rFonts w:hint="eastAsia" w:ascii="黑体" w:eastAsia="黑体"/>
              <w:kern w:val="0"/>
              <w:sz w:val="28"/>
              <w:lang w:bidi="zh-CN"/>
            </w:rPr>
            <w:t>二、 成片开发土地利用情况</w:t>
          </w:r>
          <w:r>
            <w:rPr>
              <w:sz w:val="28"/>
            </w:rPr>
            <w:tab/>
          </w:r>
          <w:r>
            <w:rPr>
              <w:sz w:val="28"/>
            </w:rPr>
            <w:fldChar w:fldCharType="begin"/>
          </w:r>
          <w:r>
            <w:rPr>
              <w:sz w:val="28"/>
            </w:rPr>
            <w:instrText xml:space="preserve"> PAGEREF _Toc86252591 \h </w:instrText>
          </w:r>
          <w:r>
            <w:rPr>
              <w:sz w:val="28"/>
            </w:rPr>
            <w:fldChar w:fldCharType="separate"/>
          </w:r>
          <w:r>
            <w:rPr>
              <w:sz w:val="28"/>
            </w:rPr>
            <w:t>7</w:t>
          </w:r>
          <w:r>
            <w:rPr>
              <w:sz w:val="28"/>
            </w:rPr>
            <w:fldChar w:fldCharType="end"/>
          </w:r>
          <w:r>
            <w:rPr>
              <w:sz w:val="28"/>
            </w:rPr>
            <w:fldChar w:fldCharType="end"/>
          </w:r>
        </w:p>
        <w:p>
          <w:pPr>
            <w:pStyle w:val="12"/>
            <w:tabs>
              <w:tab w:val="left" w:pos="1050"/>
              <w:tab w:val="right" w:leader="dot" w:pos="8300"/>
            </w:tabs>
            <w:spacing w:line="276" w:lineRule="auto"/>
            <w:rPr>
              <w:sz w:val="28"/>
              <w:szCs w:val="22"/>
            </w:rPr>
          </w:pPr>
          <w:r>
            <w:fldChar w:fldCharType="begin"/>
          </w:r>
          <w:r>
            <w:instrText xml:space="preserve"> HYPERLINK \l "_Toc86252592" </w:instrText>
          </w:r>
          <w:r>
            <w:fldChar w:fldCharType="separate"/>
          </w:r>
          <w:r>
            <w:rPr>
              <w:rStyle w:val="17"/>
              <w:rFonts w:hint="eastAsia" w:ascii="仿宋_GB2312" w:hAnsi="仿宋_GB2312" w:eastAsia="仿宋_GB2312" w:cs="仿宋_GB2312"/>
              <w:kern w:val="0"/>
              <w:sz w:val="28"/>
              <w:lang w:bidi="zh-CN"/>
            </w:rPr>
            <w:t>(一)</w:t>
          </w:r>
          <w:r>
            <w:rPr>
              <w:sz w:val="28"/>
              <w:szCs w:val="22"/>
            </w:rPr>
            <w:tab/>
          </w:r>
          <w:r>
            <w:rPr>
              <w:rStyle w:val="17"/>
              <w:rFonts w:hint="eastAsia" w:ascii="仿宋_GB2312" w:hAnsi="仿宋_GB2312" w:eastAsia="仿宋_GB2312" w:cs="仿宋_GB2312"/>
              <w:kern w:val="0"/>
              <w:sz w:val="28"/>
              <w:lang w:bidi="zh-CN"/>
            </w:rPr>
            <w:t>土地开发利用状况</w:t>
          </w:r>
          <w:r>
            <w:rPr>
              <w:sz w:val="28"/>
            </w:rPr>
            <w:tab/>
          </w:r>
          <w:r>
            <w:rPr>
              <w:sz w:val="28"/>
            </w:rPr>
            <w:fldChar w:fldCharType="begin"/>
          </w:r>
          <w:r>
            <w:rPr>
              <w:sz w:val="28"/>
            </w:rPr>
            <w:instrText xml:space="preserve"> PAGEREF _Toc86252592 \h </w:instrText>
          </w:r>
          <w:r>
            <w:rPr>
              <w:sz w:val="28"/>
            </w:rPr>
            <w:fldChar w:fldCharType="separate"/>
          </w:r>
          <w:r>
            <w:rPr>
              <w:sz w:val="28"/>
            </w:rPr>
            <w:t>7</w:t>
          </w:r>
          <w:r>
            <w:rPr>
              <w:sz w:val="28"/>
            </w:rPr>
            <w:fldChar w:fldCharType="end"/>
          </w:r>
          <w:r>
            <w:rPr>
              <w:sz w:val="28"/>
            </w:rPr>
            <w:fldChar w:fldCharType="end"/>
          </w:r>
        </w:p>
        <w:p>
          <w:pPr>
            <w:pStyle w:val="12"/>
            <w:tabs>
              <w:tab w:val="left" w:pos="1050"/>
              <w:tab w:val="right" w:leader="dot" w:pos="8300"/>
            </w:tabs>
            <w:spacing w:line="276" w:lineRule="auto"/>
            <w:rPr>
              <w:sz w:val="28"/>
              <w:szCs w:val="22"/>
            </w:rPr>
          </w:pPr>
          <w:r>
            <w:fldChar w:fldCharType="begin"/>
          </w:r>
          <w:r>
            <w:instrText xml:space="preserve"> HYPERLINK \l "_Toc86252593" </w:instrText>
          </w:r>
          <w:r>
            <w:fldChar w:fldCharType="separate"/>
          </w:r>
          <w:r>
            <w:rPr>
              <w:rStyle w:val="17"/>
              <w:rFonts w:hint="eastAsia" w:ascii="仿宋_GB2312" w:hAnsi="仿宋_GB2312" w:eastAsia="仿宋_GB2312" w:cs="仿宋_GB2312"/>
              <w:kern w:val="0"/>
              <w:sz w:val="28"/>
              <w:lang w:bidi="zh-CN"/>
            </w:rPr>
            <w:t>(二)</w:t>
          </w:r>
          <w:r>
            <w:rPr>
              <w:sz w:val="28"/>
              <w:szCs w:val="22"/>
            </w:rPr>
            <w:tab/>
          </w:r>
          <w:r>
            <w:rPr>
              <w:rStyle w:val="17"/>
              <w:rFonts w:hint="eastAsia" w:ascii="仿宋_GB2312" w:hAnsi="仿宋_GB2312" w:eastAsia="仿宋_GB2312" w:cs="仿宋_GB2312"/>
              <w:kern w:val="0"/>
              <w:sz w:val="28"/>
              <w:lang w:bidi="zh-CN"/>
            </w:rPr>
            <w:t>“三线”管控要求符合情况</w:t>
          </w:r>
          <w:r>
            <w:rPr>
              <w:sz w:val="28"/>
            </w:rPr>
            <w:tab/>
          </w:r>
          <w:r>
            <w:rPr>
              <w:sz w:val="28"/>
            </w:rPr>
            <w:fldChar w:fldCharType="begin"/>
          </w:r>
          <w:r>
            <w:rPr>
              <w:sz w:val="28"/>
            </w:rPr>
            <w:instrText xml:space="preserve"> PAGEREF _Toc86252593 \h </w:instrText>
          </w:r>
          <w:r>
            <w:rPr>
              <w:sz w:val="28"/>
            </w:rPr>
            <w:fldChar w:fldCharType="separate"/>
          </w:r>
          <w:r>
            <w:rPr>
              <w:sz w:val="28"/>
            </w:rPr>
            <w:t>13</w:t>
          </w:r>
          <w:r>
            <w:rPr>
              <w:sz w:val="28"/>
            </w:rPr>
            <w:fldChar w:fldCharType="end"/>
          </w:r>
          <w:r>
            <w:rPr>
              <w:sz w:val="28"/>
            </w:rPr>
            <w:fldChar w:fldCharType="end"/>
          </w:r>
        </w:p>
        <w:p>
          <w:pPr>
            <w:pStyle w:val="12"/>
            <w:tabs>
              <w:tab w:val="left" w:pos="1050"/>
              <w:tab w:val="right" w:leader="dot" w:pos="8300"/>
            </w:tabs>
            <w:spacing w:line="276" w:lineRule="auto"/>
            <w:rPr>
              <w:sz w:val="28"/>
              <w:szCs w:val="22"/>
            </w:rPr>
          </w:pPr>
          <w:r>
            <w:fldChar w:fldCharType="begin"/>
          </w:r>
          <w:r>
            <w:instrText xml:space="preserve"> HYPERLINK \l "_Toc86252594" </w:instrText>
          </w:r>
          <w:r>
            <w:fldChar w:fldCharType="separate"/>
          </w:r>
          <w:r>
            <w:rPr>
              <w:rStyle w:val="17"/>
              <w:rFonts w:hint="eastAsia" w:ascii="仿宋_GB2312" w:hAnsi="仿宋_GB2312" w:eastAsia="仿宋_GB2312" w:cs="仿宋_GB2312"/>
              <w:kern w:val="0"/>
              <w:sz w:val="28"/>
              <w:lang w:bidi="zh-CN"/>
            </w:rPr>
            <w:t>(三)</w:t>
          </w:r>
          <w:r>
            <w:rPr>
              <w:sz w:val="28"/>
              <w:szCs w:val="22"/>
            </w:rPr>
            <w:tab/>
          </w:r>
          <w:r>
            <w:rPr>
              <w:rStyle w:val="17"/>
              <w:rFonts w:hint="eastAsia" w:ascii="仿宋_GB2312" w:hAnsi="仿宋_GB2312" w:eastAsia="仿宋_GB2312" w:cs="仿宋_GB2312"/>
              <w:kern w:val="0"/>
              <w:sz w:val="28"/>
              <w:lang w:bidi="zh-CN"/>
            </w:rPr>
            <w:t>效益评估</w:t>
          </w:r>
          <w:r>
            <w:rPr>
              <w:sz w:val="28"/>
            </w:rPr>
            <w:tab/>
          </w:r>
          <w:r>
            <w:rPr>
              <w:sz w:val="28"/>
            </w:rPr>
            <w:fldChar w:fldCharType="begin"/>
          </w:r>
          <w:r>
            <w:rPr>
              <w:sz w:val="28"/>
            </w:rPr>
            <w:instrText xml:space="preserve"> PAGEREF _Toc86252594 \h </w:instrText>
          </w:r>
          <w:r>
            <w:rPr>
              <w:sz w:val="28"/>
            </w:rPr>
            <w:fldChar w:fldCharType="separate"/>
          </w:r>
          <w:r>
            <w:rPr>
              <w:sz w:val="28"/>
            </w:rPr>
            <w:t>13</w:t>
          </w:r>
          <w:r>
            <w:rPr>
              <w:sz w:val="28"/>
            </w:rPr>
            <w:fldChar w:fldCharType="end"/>
          </w:r>
          <w:r>
            <w:rPr>
              <w:sz w:val="28"/>
            </w:rPr>
            <w:fldChar w:fldCharType="end"/>
          </w:r>
        </w:p>
        <w:p>
          <w:pPr>
            <w:pStyle w:val="11"/>
            <w:tabs>
              <w:tab w:val="right" w:leader="dot" w:pos="8300"/>
            </w:tabs>
            <w:spacing w:line="276" w:lineRule="auto"/>
            <w:rPr>
              <w:sz w:val="28"/>
              <w:szCs w:val="22"/>
            </w:rPr>
          </w:pPr>
          <w:r>
            <w:fldChar w:fldCharType="begin"/>
          </w:r>
          <w:r>
            <w:instrText xml:space="preserve"> HYPERLINK \l "_Toc86252595" </w:instrText>
          </w:r>
          <w:r>
            <w:fldChar w:fldCharType="separate"/>
          </w:r>
          <w:r>
            <w:rPr>
              <w:rStyle w:val="17"/>
              <w:rFonts w:hint="eastAsia" w:ascii="黑体" w:eastAsia="黑体"/>
              <w:kern w:val="0"/>
              <w:sz w:val="28"/>
              <w:lang w:bidi="zh-CN"/>
            </w:rPr>
            <w:t>三、 已批准方案实施情况</w:t>
          </w:r>
          <w:r>
            <w:rPr>
              <w:sz w:val="28"/>
            </w:rPr>
            <w:tab/>
          </w:r>
          <w:r>
            <w:rPr>
              <w:sz w:val="28"/>
            </w:rPr>
            <w:fldChar w:fldCharType="begin"/>
          </w:r>
          <w:r>
            <w:rPr>
              <w:sz w:val="28"/>
            </w:rPr>
            <w:instrText xml:space="preserve"> PAGEREF _Toc86252595 \h </w:instrText>
          </w:r>
          <w:r>
            <w:rPr>
              <w:sz w:val="28"/>
            </w:rPr>
            <w:fldChar w:fldCharType="separate"/>
          </w:r>
          <w:r>
            <w:rPr>
              <w:sz w:val="28"/>
            </w:rPr>
            <w:t>17</w:t>
          </w:r>
          <w:r>
            <w:rPr>
              <w:sz w:val="28"/>
            </w:rPr>
            <w:fldChar w:fldCharType="end"/>
          </w:r>
          <w:r>
            <w:rPr>
              <w:sz w:val="28"/>
            </w:rPr>
            <w:fldChar w:fldCharType="end"/>
          </w:r>
        </w:p>
        <w:p>
          <w:pPr>
            <w:pStyle w:val="11"/>
            <w:tabs>
              <w:tab w:val="right" w:leader="dot" w:pos="8300"/>
            </w:tabs>
            <w:spacing w:line="276" w:lineRule="auto"/>
            <w:rPr>
              <w:sz w:val="28"/>
              <w:szCs w:val="22"/>
            </w:rPr>
          </w:pPr>
          <w:r>
            <w:fldChar w:fldCharType="begin"/>
          </w:r>
          <w:r>
            <w:instrText xml:space="preserve"> HYPERLINK \l "_Toc86252596" </w:instrText>
          </w:r>
          <w:r>
            <w:fldChar w:fldCharType="separate"/>
          </w:r>
          <w:r>
            <w:rPr>
              <w:rStyle w:val="17"/>
              <w:rFonts w:hint="eastAsia" w:ascii="黑体" w:eastAsia="黑体"/>
              <w:kern w:val="0"/>
              <w:sz w:val="28"/>
              <w:lang w:bidi="zh-CN"/>
            </w:rPr>
            <w:t>四、 承诺纳入土地征收成片开发方案的事项</w:t>
          </w:r>
          <w:r>
            <w:rPr>
              <w:sz w:val="28"/>
            </w:rPr>
            <w:tab/>
          </w:r>
          <w:r>
            <w:rPr>
              <w:sz w:val="28"/>
            </w:rPr>
            <w:fldChar w:fldCharType="begin"/>
          </w:r>
          <w:r>
            <w:rPr>
              <w:sz w:val="28"/>
            </w:rPr>
            <w:instrText xml:space="preserve"> PAGEREF _Toc86252596 \h </w:instrText>
          </w:r>
          <w:r>
            <w:rPr>
              <w:sz w:val="28"/>
            </w:rPr>
            <w:fldChar w:fldCharType="separate"/>
          </w:r>
          <w:r>
            <w:rPr>
              <w:sz w:val="28"/>
            </w:rPr>
            <w:t>17</w:t>
          </w:r>
          <w:r>
            <w:rPr>
              <w:sz w:val="28"/>
            </w:rPr>
            <w:fldChar w:fldCharType="end"/>
          </w:r>
          <w:r>
            <w:rPr>
              <w:sz w:val="28"/>
            </w:rPr>
            <w:fldChar w:fldCharType="end"/>
          </w:r>
        </w:p>
        <w:p>
          <w:pPr>
            <w:pStyle w:val="11"/>
            <w:tabs>
              <w:tab w:val="right" w:leader="dot" w:pos="8300"/>
            </w:tabs>
            <w:spacing w:line="276" w:lineRule="auto"/>
            <w:rPr>
              <w:sz w:val="28"/>
              <w:szCs w:val="22"/>
            </w:rPr>
          </w:pPr>
          <w:r>
            <w:fldChar w:fldCharType="begin"/>
          </w:r>
          <w:r>
            <w:instrText xml:space="preserve"> HYPERLINK \l "_Toc86252597" </w:instrText>
          </w:r>
          <w:r>
            <w:fldChar w:fldCharType="separate"/>
          </w:r>
          <w:r>
            <w:rPr>
              <w:rStyle w:val="17"/>
              <w:rFonts w:hint="eastAsia" w:ascii="黑体" w:eastAsia="黑体"/>
              <w:kern w:val="0"/>
              <w:sz w:val="28"/>
              <w:lang w:bidi="zh-CN"/>
            </w:rPr>
            <w:t>五、 意见征询情况</w:t>
          </w:r>
          <w:r>
            <w:rPr>
              <w:sz w:val="28"/>
            </w:rPr>
            <w:tab/>
          </w:r>
          <w:r>
            <w:rPr>
              <w:sz w:val="28"/>
            </w:rPr>
            <w:fldChar w:fldCharType="begin"/>
          </w:r>
          <w:r>
            <w:rPr>
              <w:sz w:val="28"/>
            </w:rPr>
            <w:instrText xml:space="preserve"> PAGEREF _Toc86252597 \h </w:instrText>
          </w:r>
          <w:r>
            <w:rPr>
              <w:sz w:val="28"/>
            </w:rPr>
            <w:fldChar w:fldCharType="separate"/>
          </w:r>
          <w:r>
            <w:rPr>
              <w:sz w:val="28"/>
            </w:rPr>
            <w:t>17</w:t>
          </w:r>
          <w:r>
            <w:rPr>
              <w:sz w:val="28"/>
            </w:rPr>
            <w:fldChar w:fldCharType="end"/>
          </w:r>
          <w:r>
            <w:rPr>
              <w:sz w:val="28"/>
            </w:rPr>
            <w:fldChar w:fldCharType="end"/>
          </w:r>
        </w:p>
        <w:p>
          <w:pPr>
            <w:pStyle w:val="11"/>
            <w:tabs>
              <w:tab w:val="right" w:leader="dot" w:pos="8300"/>
            </w:tabs>
            <w:spacing w:line="276" w:lineRule="auto"/>
            <w:rPr>
              <w:sz w:val="28"/>
              <w:szCs w:val="22"/>
            </w:rPr>
          </w:pPr>
          <w:r>
            <w:fldChar w:fldCharType="begin"/>
          </w:r>
          <w:r>
            <w:instrText xml:space="preserve"> HYPERLINK \l "_Toc86252598" </w:instrText>
          </w:r>
          <w:r>
            <w:fldChar w:fldCharType="separate"/>
          </w:r>
          <w:r>
            <w:rPr>
              <w:rStyle w:val="17"/>
              <w:rFonts w:hint="eastAsia" w:ascii="黑体" w:eastAsia="黑体"/>
              <w:kern w:val="0"/>
              <w:sz w:val="28"/>
              <w:lang w:bidi="zh-CN"/>
            </w:rPr>
            <w:t>六、 数据真实性</w:t>
          </w:r>
          <w:r>
            <w:rPr>
              <w:sz w:val="28"/>
            </w:rPr>
            <w:tab/>
          </w:r>
          <w:r>
            <w:rPr>
              <w:sz w:val="28"/>
            </w:rPr>
            <w:fldChar w:fldCharType="begin"/>
          </w:r>
          <w:r>
            <w:rPr>
              <w:sz w:val="28"/>
            </w:rPr>
            <w:instrText xml:space="preserve"> PAGEREF _Toc86252598 \h </w:instrText>
          </w:r>
          <w:r>
            <w:rPr>
              <w:sz w:val="28"/>
            </w:rPr>
            <w:fldChar w:fldCharType="separate"/>
          </w:r>
          <w:r>
            <w:rPr>
              <w:sz w:val="28"/>
            </w:rPr>
            <w:t>18</w:t>
          </w:r>
          <w:r>
            <w:rPr>
              <w:sz w:val="28"/>
            </w:rPr>
            <w:fldChar w:fldCharType="end"/>
          </w:r>
          <w:r>
            <w:rPr>
              <w:sz w:val="28"/>
            </w:rPr>
            <w:fldChar w:fldCharType="end"/>
          </w:r>
        </w:p>
        <w:p>
          <w:pPr>
            <w:pStyle w:val="11"/>
            <w:tabs>
              <w:tab w:val="right" w:leader="dot" w:pos="8300"/>
            </w:tabs>
            <w:spacing w:line="276" w:lineRule="auto"/>
            <w:rPr>
              <w:szCs w:val="22"/>
            </w:rPr>
          </w:pPr>
          <w:r>
            <w:fldChar w:fldCharType="begin"/>
          </w:r>
          <w:r>
            <w:instrText xml:space="preserve"> HYPERLINK \l "_Toc86252599" </w:instrText>
          </w:r>
          <w:r>
            <w:fldChar w:fldCharType="separate"/>
          </w:r>
          <w:r>
            <w:rPr>
              <w:rStyle w:val="17"/>
              <w:rFonts w:hint="eastAsia" w:ascii="黑体" w:eastAsia="黑体"/>
              <w:kern w:val="0"/>
              <w:sz w:val="28"/>
              <w:lang w:bidi="zh-CN"/>
            </w:rPr>
            <w:t>七、 其他情况</w:t>
          </w:r>
          <w:r>
            <w:rPr>
              <w:sz w:val="28"/>
            </w:rPr>
            <w:tab/>
          </w:r>
          <w:r>
            <w:rPr>
              <w:sz w:val="28"/>
            </w:rPr>
            <w:fldChar w:fldCharType="begin"/>
          </w:r>
          <w:r>
            <w:rPr>
              <w:sz w:val="28"/>
            </w:rPr>
            <w:instrText xml:space="preserve"> PAGEREF _Toc86252599 \h </w:instrText>
          </w:r>
          <w:r>
            <w:rPr>
              <w:sz w:val="28"/>
            </w:rPr>
            <w:fldChar w:fldCharType="separate"/>
          </w:r>
          <w:r>
            <w:rPr>
              <w:sz w:val="28"/>
            </w:rPr>
            <w:t>18</w:t>
          </w:r>
          <w:r>
            <w:rPr>
              <w:sz w:val="28"/>
            </w:rPr>
            <w:fldChar w:fldCharType="end"/>
          </w:r>
          <w:r>
            <w:rPr>
              <w:sz w:val="28"/>
            </w:rPr>
            <w:fldChar w:fldCharType="end"/>
          </w:r>
        </w:p>
        <w:p>
          <w:pPr>
            <w:spacing w:line="360" w:lineRule="auto"/>
            <w:rPr>
              <w:sz w:val="52"/>
            </w:rPr>
          </w:pPr>
          <w:r>
            <w:rPr>
              <w:b/>
              <w:bCs/>
              <w:sz w:val="52"/>
              <w:lang w:val="zh-CN"/>
            </w:rPr>
            <w:fldChar w:fldCharType="end"/>
          </w:r>
        </w:p>
      </w:sdtContent>
    </w:sdt>
    <w:p>
      <w:pPr>
        <w:widowControl/>
        <w:jc w:val="left"/>
        <w:rPr>
          <w:rFonts w:ascii="黑体" w:eastAsia="黑体"/>
          <w:kern w:val="0"/>
        </w:rPr>
        <w:sectPr>
          <w:headerReference r:id="rId3" w:type="default"/>
          <w:pgSz w:w="11910" w:h="16840"/>
          <w:pgMar w:top="1440" w:right="1800" w:bottom="1440" w:left="1800" w:header="0" w:footer="1158" w:gutter="0"/>
          <w:cols w:space="720" w:num="1"/>
          <w:docGrid w:linePitch="286" w:charSpace="0"/>
        </w:sectPr>
      </w:pPr>
    </w:p>
    <w:p>
      <w:pPr>
        <w:pStyle w:val="7"/>
        <w:numPr>
          <w:ilvl w:val="0"/>
          <w:numId w:val="1"/>
        </w:numPr>
        <w:autoSpaceDE w:val="0"/>
        <w:autoSpaceDN w:val="0"/>
        <w:spacing w:before="159" w:line="360" w:lineRule="auto"/>
        <w:jc w:val="left"/>
        <w:outlineLvl w:val="0"/>
        <w:rPr>
          <w:rFonts w:ascii="黑体" w:eastAsia="黑体"/>
          <w:kern w:val="0"/>
          <w:lang w:val="en-US"/>
        </w:rPr>
      </w:pPr>
      <w:bookmarkStart w:id="0" w:name="_Toc86252584"/>
      <w:r>
        <w:rPr>
          <w:rFonts w:hint="eastAsia" w:ascii="黑体" w:eastAsia="黑体"/>
          <w:kern w:val="0"/>
          <w:lang w:val="en-US"/>
        </w:rPr>
        <w:t>背景与区域概况</w:t>
      </w:r>
      <w:bookmarkEnd w:id="0"/>
    </w:p>
    <w:p>
      <w:pPr>
        <w:pStyle w:val="3"/>
        <w:numPr>
          <w:ilvl w:val="0"/>
          <w:numId w:val="2"/>
        </w:numPr>
        <w:rPr>
          <w:rFonts w:ascii="仿宋_GB2312" w:hAnsi="仿宋_GB2312" w:eastAsia="仿宋_GB2312" w:cs="仿宋_GB2312"/>
          <w:kern w:val="0"/>
          <w:szCs w:val="22"/>
          <w:lang w:bidi="zh-CN"/>
        </w:rPr>
      </w:pPr>
      <w:bookmarkStart w:id="1" w:name="_Toc86252585"/>
      <w:r>
        <w:rPr>
          <w:rFonts w:hint="eastAsia" w:ascii="仿宋_GB2312" w:hAnsi="仿宋_GB2312" w:eastAsia="仿宋_GB2312" w:cs="仿宋_GB2312"/>
          <w:kern w:val="0"/>
          <w:szCs w:val="22"/>
          <w:lang w:bidi="zh-CN"/>
        </w:rPr>
        <w:t>编制背景</w:t>
      </w:r>
      <w:bookmarkEnd w:id="1"/>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2020年1月1日，新修订的《中华人民共和国土地管理法》施行，其中，第四十五条第五点规定：“在土地利用总体规划确定的城镇建设用地范围内，经省级以上人民政府批准由县级以上地方人民政府组织实施的成片开发建设需要用地的”，可以实施土地征收。</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为确保新修订的《中华人民共和国土地管理法》中关于土地征收成片开发的落实。2020年11月5日，自然资源部印发了《土地征收成片开发标准（试行）》，</w:t>
      </w:r>
      <w:bookmarkStart w:id="16" w:name="_GoBack"/>
      <w:bookmarkEnd w:id="16"/>
      <w:r>
        <w:rPr>
          <w:rFonts w:hint="eastAsia" w:ascii="Times New Roman" w:hAnsi="Times New Roman" w:eastAsia="仿宋_GB2312" w:cs="仿宋"/>
          <w:kern w:val="0"/>
          <w:sz w:val="30"/>
          <w:szCs w:val="30"/>
          <w:lang w:bidi="zh-CN"/>
        </w:rPr>
        <w:t>明确了土地征收成片开发的实施范围、编制主体以及内容、原则等事项。</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按照新修订《中华人民共和国土地管理法》和《土地征收成片开发标准（试行）》要求，浙江省自然资源厅印发了《浙江省土地征收成片开发方案编制与审核办法（试行）》和《浙江省土地征收成片开发方案编制大纲及参考格式》，对方案编制内容和审核流程进一步细化。</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自然资源部和地方各级自然资源主管部门对现有的土地征收进行了改革和创新，逐步建立起新的《中华人民共和国土地管理法》之下的土地征收政策体系。编制土地征收成片开发方案是新的土地征收政策体系落实的现实需要。</w:t>
      </w:r>
    </w:p>
    <w:p>
      <w:pPr>
        <w:pStyle w:val="3"/>
        <w:numPr>
          <w:ilvl w:val="0"/>
          <w:numId w:val="2"/>
        </w:numPr>
        <w:rPr>
          <w:rFonts w:ascii="仿宋_GB2312" w:hAnsi="仿宋_GB2312" w:eastAsia="仿宋_GB2312" w:cs="仿宋_GB2312"/>
          <w:kern w:val="0"/>
          <w:szCs w:val="22"/>
          <w:lang w:bidi="zh-CN"/>
        </w:rPr>
      </w:pPr>
      <w:bookmarkStart w:id="2" w:name="_Toc86252586"/>
      <w:r>
        <w:rPr>
          <w:rFonts w:hint="eastAsia" w:ascii="仿宋_GB2312" w:hAnsi="仿宋_GB2312" w:eastAsia="仿宋_GB2312" w:cs="仿宋_GB2312"/>
          <w:kern w:val="0"/>
          <w:szCs w:val="22"/>
          <w:lang w:bidi="zh-CN"/>
        </w:rPr>
        <w:t>编制</w:t>
      </w:r>
      <w:r>
        <w:rPr>
          <w:rFonts w:ascii="仿宋_GB2312" w:hAnsi="仿宋_GB2312" w:eastAsia="仿宋_GB2312" w:cs="仿宋_GB2312"/>
          <w:kern w:val="0"/>
          <w:szCs w:val="22"/>
          <w:lang w:bidi="zh-CN"/>
        </w:rPr>
        <w:t>意义</w:t>
      </w:r>
      <w:bookmarkEnd w:id="2"/>
    </w:p>
    <w:p>
      <w:pPr>
        <w:pStyle w:val="20"/>
        <w:numPr>
          <w:ilvl w:val="0"/>
          <w:numId w:val="3"/>
        </w:numPr>
        <w:autoSpaceDE w:val="0"/>
        <w:autoSpaceDN w:val="0"/>
        <w:spacing w:line="360" w:lineRule="auto"/>
        <w:ind w:left="426"/>
        <w:jc w:val="left"/>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为鄞州区国民经济和社会发展目标的实现提供土地要素保障</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土地作为基础性生产要素，对国民经济社会发展的重要性不言而喻。任何社会经济活动都需要一定的空间作为其生产、生活及建设的载体。鄞州区的快速发展，迫切需要持续稳定的土地要素，为其经济社会发展目标的实现提供保障。</w:t>
      </w:r>
    </w:p>
    <w:p>
      <w:pPr>
        <w:pStyle w:val="20"/>
        <w:numPr>
          <w:ilvl w:val="0"/>
          <w:numId w:val="3"/>
        </w:numPr>
        <w:autoSpaceDE w:val="0"/>
        <w:autoSpaceDN w:val="0"/>
        <w:spacing w:line="360" w:lineRule="auto"/>
        <w:ind w:left="426"/>
        <w:jc w:val="left"/>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加快推进重点项目及各类经营性项目建设的现实需要</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新修订《中华人民共和国土地管理法》对土地征收的6种情形进行了明确的界定，其中5种情形为公共利益需要实施土地征收，土地征收成片开发情形为各类占用集体土地的非公益性的经营性用地项目的落地建设提供了契机，编制土地征收成片开发方案是确保符合条件的占用集体土地的非公益性项目落地建设的现实需要。</w:t>
      </w:r>
    </w:p>
    <w:p>
      <w:pPr>
        <w:pStyle w:val="20"/>
        <w:numPr>
          <w:ilvl w:val="0"/>
          <w:numId w:val="3"/>
        </w:numPr>
        <w:autoSpaceDE w:val="0"/>
        <w:autoSpaceDN w:val="0"/>
        <w:spacing w:line="360" w:lineRule="auto"/>
        <w:ind w:left="426"/>
        <w:jc w:val="left"/>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优化城市空间格局、促进土地节约集约利用</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成片开发是政府统一实施规划、统一开发、统一建设而确定的一个完整片区，较好的保证了城市政府按照相关规划和计划统筹、协调推进城市建设的能力，有利于城市空间格局的优化和促进城市建设用地的节约集约利用，防止城市建设用地遍地开花、无序蔓延。</w:t>
      </w:r>
    </w:p>
    <w:p>
      <w:pPr>
        <w:pStyle w:val="20"/>
        <w:numPr>
          <w:ilvl w:val="0"/>
          <w:numId w:val="3"/>
        </w:numPr>
        <w:autoSpaceDE w:val="0"/>
        <w:autoSpaceDN w:val="0"/>
        <w:spacing w:line="360" w:lineRule="auto"/>
        <w:ind w:left="426"/>
        <w:jc w:val="left"/>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完善城市功能、改善人居环境的必然选择</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按照自然资源部、浙江省自然资源厅确定的土地征收成片开发要求，成片开发片区范围内各类公益性用地比例不低于40%，能够较好的确保成片开发范围内的道路、公服设施、公用设施等各类配套服务设施的建设，这有助于逐步完善城市功能，改善片区内的人居环境。</w:t>
      </w:r>
    </w:p>
    <w:p>
      <w:pPr>
        <w:pStyle w:val="3"/>
        <w:numPr>
          <w:ilvl w:val="0"/>
          <w:numId w:val="2"/>
        </w:numPr>
        <w:rPr>
          <w:rFonts w:ascii="仿宋_GB2312" w:hAnsi="仿宋_GB2312" w:eastAsia="仿宋_GB2312" w:cs="仿宋_GB2312"/>
          <w:kern w:val="0"/>
          <w:szCs w:val="22"/>
          <w:lang w:bidi="zh-CN"/>
        </w:rPr>
      </w:pPr>
      <w:bookmarkStart w:id="3" w:name="_Toc86252587"/>
      <w:r>
        <w:rPr>
          <w:rFonts w:hint="eastAsia" w:ascii="仿宋_GB2312" w:hAnsi="仿宋_GB2312" w:eastAsia="仿宋_GB2312" w:cs="仿宋_GB2312"/>
          <w:kern w:val="0"/>
          <w:szCs w:val="22"/>
          <w:lang w:bidi="zh-CN"/>
        </w:rPr>
        <w:t>编制依据</w:t>
      </w:r>
      <w:bookmarkEnd w:id="3"/>
    </w:p>
    <w:p>
      <w:pPr>
        <w:pStyle w:val="5"/>
        <w:numPr>
          <w:ilvl w:val="0"/>
          <w:numId w:val="4"/>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法律法规</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《中华人民共和国土地管理法》（2019年修订）</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《中华人民共和国土地管理法实施条例》（2019版）</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《中华人民共和国城乡规划法》（2019修订版）；</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《中华人民共和国环境保护法》（2014修订版）；</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《基本农田保护条例》（2011年修正）；</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《国有土地上房屋征收与补偿条例》（国务院令第590号）；</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《浙江省国有土地上房屋征收与补偿条例》；</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《浙江省城乡规划条例》</w:t>
      </w:r>
    </w:p>
    <w:p>
      <w:pPr>
        <w:pStyle w:val="5"/>
        <w:numPr>
          <w:ilvl w:val="0"/>
          <w:numId w:val="4"/>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技术规范</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《自然资源部关于印发&lt;土地征收成片开发标准（试行）&gt;的通知》（自然资规〔2020〕5号）</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浙江省自然资源厅《浙江省土地征收成片开发方案编制审核办法（试行）》（浙自然资规〔2021〕3号）</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ascii="Times New Roman" w:hAnsi="Times New Roman" w:eastAsia="仿宋_GB2312" w:cs="仿宋"/>
          <w:kern w:val="0"/>
          <w:sz w:val="30"/>
          <w:szCs w:val="30"/>
          <w:lang w:bidi="zh-CN"/>
        </w:rPr>
        <w:t>《</w:t>
      </w:r>
      <w:r>
        <w:rPr>
          <w:rFonts w:hint="eastAsia" w:ascii="Times New Roman" w:hAnsi="Times New Roman" w:eastAsia="仿宋_GB2312" w:cs="仿宋"/>
          <w:kern w:val="0"/>
          <w:sz w:val="30"/>
          <w:szCs w:val="30"/>
          <w:lang w:bidi="zh-CN"/>
        </w:rPr>
        <w:t>宁波市鄞州区人民政府关于调整</w:t>
      </w:r>
      <w:r>
        <w:rPr>
          <w:rFonts w:ascii="Times New Roman" w:hAnsi="Times New Roman" w:eastAsia="仿宋_GB2312" w:cs="仿宋"/>
          <w:kern w:val="0"/>
          <w:sz w:val="30"/>
          <w:szCs w:val="30"/>
          <w:lang w:bidi="zh-CN"/>
        </w:rPr>
        <w:t>征地区片综合地价标准</w:t>
      </w:r>
      <w:r>
        <w:rPr>
          <w:rFonts w:hint="eastAsia" w:ascii="Times New Roman" w:hAnsi="Times New Roman" w:eastAsia="仿宋_GB2312" w:cs="仿宋"/>
          <w:kern w:val="0"/>
          <w:sz w:val="30"/>
          <w:szCs w:val="30"/>
          <w:lang w:bidi="zh-CN"/>
        </w:rPr>
        <w:t>的通知</w:t>
      </w:r>
      <w:r>
        <w:rPr>
          <w:rFonts w:ascii="Times New Roman" w:hAnsi="Times New Roman" w:eastAsia="仿宋_GB2312" w:cs="仿宋"/>
          <w:kern w:val="0"/>
          <w:sz w:val="30"/>
          <w:szCs w:val="30"/>
          <w:lang w:bidi="zh-CN"/>
        </w:rPr>
        <w:t>》</w:t>
      </w:r>
      <w:r>
        <w:rPr>
          <w:rFonts w:hint="eastAsia" w:ascii="Times New Roman" w:hAnsi="Times New Roman" w:eastAsia="仿宋_GB2312" w:cs="仿宋"/>
          <w:kern w:val="0"/>
          <w:sz w:val="30"/>
          <w:szCs w:val="30"/>
          <w:lang w:bidi="zh-CN"/>
        </w:rPr>
        <w:t>（鄞政发〔2020〕39号）</w:t>
      </w:r>
    </w:p>
    <w:p>
      <w:pPr>
        <w:autoSpaceDE w:val="0"/>
        <w:autoSpaceDN w:val="0"/>
        <w:spacing w:line="360" w:lineRule="auto"/>
        <w:ind w:firstLine="426" w:firstLineChars="142"/>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《宁波市鄞州区人民政府关于调整区土地征收青苗及地上附着物补偿标准的通知》（鄞政发〔2021〕8号）</w:t>
      </w:r>
    </w:p>
    <w:p>
      <w:pPr>
        <w:pStyle w:val="5"/>
        <w:numPr>
          <w:ilvl w:val="0"/>
          <w:numId w:val="4"/>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相关规划</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《宁波市城市总体规划（2006-2020）》（2</w:t>
      </w:r>
      <w:r>
        <w:rPr>
          <w:rFonts w:ascii="Times New Roman" w:hAnsi="Times New Roman" w:eastAsia="仿宋_GB2312" w:cs="仿宋"/>
          <w:kern w:val="0"/>
          <w:sz w:val="30"/>
          <w:szCs w:val="30"/>
          <w:lang w:bidi="zh-CN"/>
        </w:rPr>
        <w:t>015年修订</w:t>
      </w:r>
      <w:r>
        <w:rPr>
          <w:rFonts w:hint="eastAsia" w:ascii="Times New Roman" w:hAnsi="Times New Roman" w:eastAsia="仿宋_GB2312" w:cs="仿宋"/>
          <w:kern w:val="0"/>
          <w:sz w:val="30"/>
          <w:szCs w:val="30"/>
          <w:lang w:bidi="zh-CN"/>
        </w:rPr>
        <w:t>）</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《宁波市鄞州区国土空间总体规划（202</w:t>
      </w:r>
      <w:r>
        <w:rPr>
          <w:rFonts w:ascii="Times New Roman" w:hAnsi="Times New Roman" w:eastAsia="仿宋_GB2312" w:cs="仿宋"/>
          <w:kern w:val="0"/>
          <w:sz w:val="30"/>
          <w:szCs w:val="30"/>
          <w:lang w:bidi="zh-CN"/>
        </w:rPr>
        <w:t>0</w:t>
      </w:r>
      <w:r>
        <w:rPr>
          <w:rFonts w:hint="eastAsia" w:ascii="Times New Roman" w:hAnsi="Times New Roman" w:eastAsia="仿宋_GB2312" w:cs="仿宋"/>
          <w:kern w:val="0"/>
          <w:sz w:val="30"/>
          <w:szCs w:val="30"/>
          <w:lang w:bidi="zh-CN"/>
        </w:rPr>
        <w:t>-2035）》（在编）</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《宁波市鄞州区土地利用总体规划（2006-2020）》</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其他有关的详细规划、专项规划以及相关政策依据等。</w:t>
      </w:r>
    </w:p>
    <w:p>
      <w:pPr>
        <w:pStyle w:val="3"/>
        <w:numPr>
          <w:ilvl w:val="0"/>
          <w:numId w:val="2"/>
        </w:numPr>
        <w:rPr>
          <w:rFonts w:ascii="仿宋_GB2312" w:hAnsi="仿宋_GB2312" w:eastAsia="仿宋_GB2312" w:cs="仿宋_GB2312"/>
          <w:kern w:val="0"/>
          <w:szCs w:val="22"/>
          <w:lang w:bidi="zh-CN"/>
        </w:rPr>
      </w:pPr>
      <w:bookmarkStart w:id="4" w:name="_Toc86252588"/>
      <w:r>
        <w:rPr>
          <w:rFonts w:hint="eastAsia" w:ascii="仿宋_GB2312" w:hAnsi="仿宋_GB2312" w:eastAsia="仿宋_GB2312" w:cs="仿宋_GB2312"/>
          <w:kern w:val="0"/>
          <w:szCs w:val="22"/>
          <w:lang w:bidi="zh-CN"/>
        </w:rPr>
        <w:t>区域概况</w:t>
      </w:r>
      <w:bookmarkEnd w:id="4"/>
    </w:p>
    <w:p>
      <w:pPr>
        <w:pStyle w:val="5"/>
        <w:numPr>
          <w:ilvl w:val="0"/>
          <w:numId w:val="5"/>
        </w:numPr>
        <w:rPr>
          <w:rFonts w:ascii="Times New Roman" w:hAnsi="Times New Roman" w:eastAsia="仿宋_GB2312" w:cs="仿宋_GB2312"/>
          <w:b w:val="0"/>
          <w:kern w:val="0"/>
          <w:sz w:val="30"/>
          <w:szCs w:val="30"/>
          <w:lang w:bidi="zh-CN"/>
        </w:rPr>
      </w:pPr>
      <w:r>
        <w:rPr>
          <w:rFonts w:ascii="Times New Roman" w:hAnsi="Times New Roman" w:eastAsia="仿宋_GB2312" w:cs="仿宋_GB2312"/>
          <w:b w:val="0"/>
          <w:kern w:val="0"/>
          <w:sz w:val="30"/>
          <w:szCs w:val="30"/>
          <w:lang w:bidi="zh-CN"/>
        </w:rPr>
        <w:t>地理位置</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鄞州区位于长三角南翼、浙江省东部，是宁波市市辖区和核心城区之一，区域总面积814</w:t>
      </w:r>
      <w:r>
        <w:rPr>
          <w:rFonts w:ascii="Times New Roman" w:hAnsi="Times New Roman" w:eastAsia="仿宋_GB2312" w:cs="仿宋"/>
          <w:kern w:val="0"/>
          <w:sz w:val="30"/>
          <w:szCs w:val="30"/>
          <w:lang w:bidi="zh-CN"/>
        </w:rPr>
        <w:t>.2</w:t>
      </w:r>
      <w:r>
        <w:rPr>
          <w:rFonts w:hint="eastAsia" w:ascii="Times New Roman" w:hAnsi="Times New Roman" w:eastAsia="仿宋_GB2312" w:cs="仿宋"/>
          <w:kern w:val="0"/>
          <w:sz w:val="30"/>
          <w:szCs w:val="30"/>
          <w:lang w:bidi="zh-CN"/>
        </w:rPr>
        <w:t>平方千米。全区下辖10个乡镇和15个街道办事处，共有2</w:t>
      </w:r>
      <w:r>
        <w:rPr>
          <w:rFonts w:ascii="Times New Roman" w:hAnsi="Times New Roman" w:eastAsia="仿宋_GB2312" w:cs="仿宋"/>
          <w:kern w:val="0"/>
          <w:sz w:val="30"/>
          <w:szCs w:val="30"/>
          <w:lang w:bidi="zh-CN"/>
        </w:rPr>
        <w:t>04个行政村</w:t>
      </w:r>
      <w:r>
        <w:rPr>
          <w:rFonts w:hint="eastAsia" w:ascii="Times New Roman" w:hAnsi="Times New Roman" w:eastAsia="仿宋_GB2312" w:cs="仿宋"/>
          <w:kern w:val="0"/>
          <w:sz w:val="30"/>
          <w:szCs w:val="30"/>
          <w:lang w:bidi="zh-CN"/>
        </w:rPr>
        <w:t>、1</w:t>
      </w:r>
      <w:r>
        <w:rPr>
          <w:rFonts w:ascii="Times New Roman" w:hAnsi="Times New Roman" w:eastAsia="仿宋_GB2312" w:cs="仿宋"/>
          <w:kern w:val="0"/>
          <w:sz w:val="30"/>
          <w:szCs w:val="30"/>
          <w:lang w:bidi="zh-CN"/>
        </w:rPr>
        <w:t>79个</w:t>
      </w:r>
      <w:r>
        <w:rPr>
          <w:rFonts w:hint="eastAsia" w:ascii="Times New Roman" w:hAnsi="Times New Roman" w:eastAsia="仿宋_GB2312" w:cs="仿宋"/>
          <w:kern w:val="0"/>
          <w:sz w:val="30"/>
          <w:szCs w:val="30"/>
          <w:lang w:bidi="zh-CN"/>
        </w:rPr>
        <w:t>社区和</w:t>
      </w:r>
      <w:r>
        <w:rPr>
          <w:rFonts w:ascii="Times New Roman" w:hAnsi="Times New Roman" w:eastAsia="仿宋_GB2312" w:cs="仿宋"/>
          <w:kern w:val="0"/>
          <w:sz w:val="30"/>
          <w:szCs w:val="30"/>
          <w:lang w:bidi="zh-CN"/>
        </w:rPr>
        <w:t>8个城镇居委会</w:t>
      </w:r>
      <w:r>
        <w:rPr>
          <w:rFonts w:hint="eastAsia" w:ascii="Times New Roman" w:hAnsi="Times New Roman" w:eastAsia="仿宋_GB2312" w:cs="仿宋"/>
          <w:kern w:val="0"/>
          <w:sz w:val="30"/>
          <w:szCs w:val="30"/>
          <w:lang w:bidi="zh-CN"/>
        </w:rPr>
        <w:t>。</w:t>
      </w:r>
    </w:p>
    <w:p>
      <w:pPr>
        <w:pStyle w:val="5"/>
        <w:numPr>
          <w:ilvl w:val="0"/>
          <w:numId w:val="5"/>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人口概况</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ascii="Times New Roman" w:hAnsi="Times New Roman" w:eastAsia="仿宋_GB2312" w:cs="仿宋"/>
          <w:kern w:val="0"/>
          <w:sz w:val="30"/>
          <w:szCs w:val="30"/>
          <w:lang w:bidi="zh-CN"/>
        </w:rPr>
        <w:t>根据宁波市鄞州区第七次全国人口普查主要数据公报</w:t>
      </w:r>
      <w:r>
        <w:rPr>
          <w:rFonts w:hint="eastAsia" w:ascii="Times New Roman" w:hAnsi="Times New Roman" w:eastAsia="仿宋_GB2312" w:cs="仿宋"/>
          <w:kern w:val="0"/>
          <w:sz w:val="30"/>
          <w:szCs w:val="30"/>
          <w:lang w:bidi="zh-CN"/>
        </w:rPr>
        <w:t>，鄞州区常住人口为1</w:t>
      </w:r>
      <w:r>
        <w:rPr>
          <w:rFonts w:ascii="Times New Roman" w:hAnsi="Times New Roman" w:eastAsia="仿宋_GB2312" w:cs="仿宋"/>
          <w:kern w:val="0"/>
          <w:sz w:val="30"/>
          <w:szCs w:val="30"/>
          <w:lang w:bidi="zh-CN"/>
        </w:rPr>
        <w:t>609555人</w:t>
      </w:r>
      <w:r>
        <w:rPr>
          <w:rFonts w:hint="eastAsia" w:ascii="Times New Roman" w:hAnsi="Times New Roman" w:eastAsia="仿宋_GB2312" w:cs="仿宋"/>
          <w:kern w:val="0"/>
          <w:sz w:val="30"/>
          <w:szCs w:val="30"/>
          <w:lang w:bidi="zh-CN"/>
        </w:rPr>
        <w:t>，居住在城镇的人口为1</w:t>
      </w:r>
      <w:r>
        <w:rPr>
          <w:rFonts w:ascii="Times New Roman" w:hAnsi="Times New Roman" w:eastAsia="仿宋_GB2312" w:cs="仿宋"/>
          <w:kern w:val="0"/>
          <w:sz w:val="30"/>
          <w:szCs w:val="30"/>
          <w:lang w:bidi="zh-CN"/>
        </w:rPr>
        <w:t>323531人</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占</w:t>
      </w:r>
      <w:r>
        <w:rPr>
          <w:rFonts w:hint="eastAsia" w:ascii="Times New Roman" w:hAnsi="Times New Roman" w:eastAsia="仿宋_GB2312" w:cs="仿宋"/>
          <w:kern w:val="0"/>
          <w:sz w:val="30"/>
          <w:szCs w:val="30"/>
          <w:lang w:bidi="zh-CN"/>
        </w:rPr>
        <w:t>8</w:t>
      </w:r>
      <w:r>
        <w:rPr>
          <w:rFonts w:ascii="Times New Roman" w:hAnsi="Times New Roman" w:eastAsia="仿宋_GB2312" w:cs="仿宋"/>
          <w:kern w:val="0"/>
          <w:sz w:val="30"/>
          <w:szCs w:val="30"/>
          <w:lang w:bidi="zh-CN"/>
        </w:rPr>
        <w:t>2.3</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居住在乡村的人口为</w:t>
      </w:r>
      <w:r>
        <w:rPr>
          <w:rFonts w:hint="eastAsia" w:ascii="Times New Roman" w:hAnsi="Times New Roman" w:eastAsia="仿宋_GB2312" w:cs="仿宋"/>
          <w:kern w:val="0"/>
          <w:sz w:val="30"/>
          <w:szCs w:val="30"/>
          <w:lang w:bidi="zh-CN"/>
        </w:rPr>
        <w:t>2</w:t>
      </w:r>
      <w:r>
        <w:rPr>
          <w:rFonts w:ascii="Times New Roman" w:hAnsi="Times New Roman" w:eastAsia="仿宋_GB2312" w:cs="仿宋"/>
          <w:kern w:val="0"/>
          <w:sz w:val="30"/>
          <w:szCs w:val="30"/>
          <w:lang w:bidi="zh-CN"/>
        </w:rPr>
        <w:t>86024人</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占</w:t>
      </w:r>
      <w:r>
        <w:rPr>
          <w:rFonts w:hint="eastAsia" w:ascii="Times New Roman" w:hAnsi="Times New Roman" w:eastAsia="仿宋_GB2312" w:cs="仿宋"/>
          <w:kern w:val="0"/>
          <w:sz w:val="30"/>
          <w:szCs w:val="30"/>
          <w:lang w:bidi="zh-CN"/>
        </w:rPr>
        <w:t>1</w:t>
      </w:r>
      <w:r>
        <w:rPr>
          <w:rFonts w:ascii="Times New Roman" w:hAnsi="Times New Roman" w:eastAsia="仿宋_GB2312" w:cs="仿宋"/>
          <w:kern w:val="0"/>
          <w:sz w:val="30"/>
          <w:szCs w:val="30"/>
          <w:lang w:bidi="zh-CN"/>
        </w:rPr>
        <w:t>7.77</w:t>
      </w:r>
      <w:r>
        <w:rPr>
          <w:rFonts w:hint="eastAsia" w:ascii="Times New Roman" w:hAnsi="Times New Roman" w:eastAsia="仿宋_GB2312" w:cs="仿宋"/>
          <w:kern w:val="0"/>
          <w:sz w:val="30"/>
          <w:szCs w:val="30"/>
          <w:lang w:bidi="zh-CN"/>
        </w:rPr>
        <w:t>%。</w:t>
      </w:r>
    </w:p>
    <w:p>
      <w:pPr>
        <w:pStyle w:val="5"/>
        <w:numPr>
          <w:ilvl w:val="0"/>
          <w:numId w:val="5"/>
        </w:numPr>
        <w:rPr>
          <w:rFonts w:ascii="Times New Roman" w:hAnsi="Times New Roman" w:eastAsia="仿宋_GB2312" w:cs="仿宋_GB2312"/>
          <w:b w:val="0"/>
          <w:kern w:val="0"/>
          <w:sz w:val="30"/>
          <w:szCs w:val="30"/>
          <w:lang w:bidi="zh-CN"/>
        </w:rPr>
      </w:pPr>
      <w:r>
        <w:rPr>
          <w:rFonts w:ascii="Times New Roman" w:hAnsi="Times New Roman" w:eastAsia="仿宋_GB2312" w:cs="仿宋_GB2312"/>
          <w:b w:val="0"/>
          <w:kern w:val="0"/>
          <w:sz w:val="30"/>
          <w:szCs w:val="30"/>
          <w:lang w:bidi="zh-CN"/>
        </w:rPr>
        <w:t>资源禀赋条件</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鄞州区属亚热带季风气候，因濒临东海又带有海洋性气候特征，为区内各类动植物的繁衍生息提供了得天独厚条件，形成了区内丰富多样的各类动植物资源。</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区内河网密集且年径流量较大，年平均水资源总量为1</w:t>
      </w:r>
      <w:r>
        <w:rPr>
          <w:rFonts w:ascii="Times New Roman" w:hAnsi="Times New Roman" w:eastAsia="仿宋_GB2312" w:cs="仿宋"/>
          <w:kern w:val="0"/>
          <w:sz w:val="30"/>
          <w:szCs w:val="30"/>
          <w:lang w:bidi="zh-CN"/>
        </w:rPr>
        <w:t>1.07亿立方米</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其中</w:t>
      </w:r>
      <w:r>
        <w:rPr>
          <w:rFonts w:hint="eastAsia" w:ascii="Times New Roman" w:hAnsi="Times New Roman" w:eastAsia="仿宋_GB2312" w:cs="仿宋"/>
          <w:kern w:val="0"/>
          <w:sz w:val="30"/>
          <w:szCs w:val="30"/>
          <w:lang w:bidi="zh-CN"/>
        </w:rPr>
        <w:t>地表水储量约10.28亿立方米。水资源丰富充足，主要河流湖泊有大嵩江、奉化江、甬江、东钱湖等。鄞州区海域分布于最东端，属象山港海湾的一部分，境内渔业资源丰富多样。</w:t>
      </w:r>
    </w:p>
    <w:p>
      <w:pPr>
        <w:pStyle w:val="5"/>
        <w:numPr>
          <w:ilvl w:val="0"/>
          <w:numId w:val="5"/>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社会经济条件</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根据2</w:t>
      </w:r>
      <w:r>
        <w:rPr>
          <w:rFonts w:ascii="Times New Roman" w:hAnsi="Times New Roman" w:eastAsia="仿宋_GB2312" w:cs="仿宋"/>
          <w:kern w:val="0"/>
          <w:sz w:val="30"/>
          <w:szCs w:val="30"/>
          <w:lang w:bidi="zh-CN"/>
        </w:rPr>
        <w:t>020年宁波市鄞州区国民经济和社会发展统计公报</w:t>
      </w:r>
      <w:r>
        <w:rPr>
          <w:rFonts w:hint="eastAsia" w:ascii="Times New Roman" w:hAnsi="Times New Roman" w:eastAsia="仿宋_GB2312" w:cs="仿宋"/>
          <w:kern w:val="0"/>
          <w:sz w:val="30"/>
          <w:szCs w:val="30"/>
          <w:lang w:bidi="zh-CN"/>
        </w:rPr>
        <w:t>，全区实现生产总值（GDP）2266.1亿元。三次产业结构为1</w:t>
      </w:r>
      <w:r>
        <w:rPr>
          <w:rFonts w:ascii="Times New Roman" w:hAnsi="Times New Roman" w:eastAsia="仿宋_GB2312" w:cs="仿宋"/>
          <w:kern w:val="0"/>
          <w:sz w:val="30"/>
          <w:szCs w:val="30"/>
          <w:lang w:bidi="zh-CN"/>
        </w:rPr>
        <w:t>.2</w:t>
      </w:r>
      <w:r>
        <w:rPr>
          <w:rFonts w:hint="eastAsia" w:ascii="Times New Roman" w:hAnsi="Times New Roman" w:eastAsia="仿宋_GB2312" w:cs="仿宋"/>
          <w:kern w:val="0"/>
          <w:sz w:val="30"/>
          <w:szCs w:val="30"/>
          <w:lang w:bidi="zh-CN"/>
        </w:rPr>
        <w:t>:2</w:t>
      </w:r>
      <w:r>
        <w:rPr>
          <w:rFonts w:ascii="Times New Roman" w:hAnsi="Times New Roman" w:eastAsia="仿宋_GB2312" w:cs="仿宋"/>
          <w:kern w:val="0"/>
          <w:sz w:val="30"/>
          <w:szCs w:val="30"/>
          <w:lang w:bidi="zh-CN"/>
        </w:rPr>
        <w:t>6.9</w:t>
      </w:r>
      <w:r>
        <w:rPr>
          <w:rFonts w:hint="eastAsia" w:ascii="Times New Roman" w:hAnsi="Times New Roman" w:eastAsia="仿宋_GB2312" w:cs="仿宋"/>
          <w:kern w:val="0"/>
          <w:sz w:val="30"/>
          <w:szCs w:val="30"/>
          <w:lang w:bidi="zh-CN"/>
        </w:rPr>
        <w:t>:7</w:t>
      </w:r>
      <w:r>
        <w:rPr>
          <w:rFonts w:ascii="Times New Roman" w:hAnsi="Times New Roman" w:eastAsia="仿宋_GB2312" w:cs="仿宋"/>
          <w:kern w:val="0"/>
          <w:sz w:val="30"/>
          <w:szCs w:val="30"/>
          <w:lang w:bidi="zh-CN"/>
        </w:rPr>
        <w:t>1.9</w:t>
      </w:r>
      <w:r>
        <w:rPr>
          <w:rFonts w:hint="eastAsia" w:ascii="Times New Roman" w:hAnsi="Times New Roman" w:eastAsia="仿宋_GB2312" w:cs="仿宋"/>
          <w:kern w:val="0"/>
          <w:sz w:val="30"/>
          <w:szCs w:val="30"/>
          <w:lang w:bidi="zh-CN"/>
        </w:rPr>
        <w:t>。面对新冠肺炎疫情严重冲击，鄞州区的经济呈现逐步复苏、逐季向好的态势，各项社会事业繁荣发展，民生保障扎实有力。</w:t>
      </w:r>
    </w:p>
    <w:p>
      <w:pPr>
        <w:pStyle w:val="3"/>
        <w:numPr>
          <w:ilvl w:val="0"/>
          <w:numId w:val="2"/>
        </w:numPr>
        <w:rPr>
          <w:rFonts w:ascii="仿宋_GB2312" w:hAnsi="仿宋_GB2312" w:eastAsia="仿宋_GB2312" w:cs="仿宋_GB2312"/>
          <w:kern w:val="0"/>
          <w:szCs w:val="22"/>
          <w:lang w:bidi="zh-CN"/>
        </w:rPr>
      </w:pPr>
      <w:bookmarkStart w:id="5" w:name="_Toc86252589"/>
      <w:r>
        <w:rPr>
          <w:rFonts w:hint="eastAsia" w:ascii="仿宋_GB2312" w:hAnsi="仿宋_GB2312" w:eastAsia="仿宋_GB2312" w:cs="仿宋_GB2312"/>
          <w:kern w:val="0"/>
          <w:szCs w:val="22"/>
          <w:lang w:bidi="zh-CN"/>
        </w:rPr>
        <w:t>土地节约集约利用水平</w:t>
      </w:r>
      <w:bookmarkEnd w:id="5"/>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鄞州区作为首届“全国国土资源节约集约模范区”，多年来，按照“立足存量、用好增量、优化配置、创新办法”的思路，深入践行节约集约用地理念，2020年度鄞州区土地集约利用水平相较于往年，有较大幅度的提升。</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按照土地监测监管系统，截至202</w:t>
      </w:r>
      <w:r>
        <w:rPr>
          <w:rFonts w:ascii="Times New Roman" w:hAnsi="Times New Roman" w:eastAsia="仿宋_GB2312" w:cs="仿宋"/>
          <w:kern w:val="0"/>
          <w:sz w:val="30"/>
          <w:szCs w:val="30"/>
          <w:lang w:bidi="zh-CN"/>
        </w:rPr>
        <w:t>0</w:t>
      </w:r>
      <w:r>
        <w:rPr>
          <w:rFonts w:hint="eastAsia" w:ascii="Times New Roman" w:hAnsi="Times New Roman" w:eastAsia="仿宋_GB2312" w:cs="仿宋"/>
          <w:kern w:val="0"/>
          <w:sz w:val="30"/>
          <w:szCs w:val="30"/>
          <w:lang w:bidi="zh-CN"/>
        </w:rPr>
        <w:t>年底，鄞州区批而未供土地（不含单独选址）</w:t>
      </w:r>
      <w:r>
        <w:rPr>
          <w:rFonts w:ascii="Times New Roman" w:hAnsi="Times New Roman" w:eastAsia="仿宋_GB2312" w:cs="仿宋"/>
          <w:kern w:val="0"/>
          <w:sz w:val="30"/>
          <w:szCs w:val="30"/>
          <w:lang w:bidi="zh-CN"/>
        </w:rPr>
        <w:t>655.0667</w:t>
      </w:r>
      <w:r>
        <w:rPr>
          <w:rFonts w:hint="eastAsia" w:ascii="Times New Roman" w:hAnsi="Times New Roman" w:eastAsia="仿宋_GB2312" w:cs="仿宋"/>
          <w:kern w:val="0"/>
          <w:sz w:val="30"/>
          <w:szCs w:val="30"/>
          <w:lang w:bidi="zh-CN"/>
        </w:rPr>
        <w:t>公顷，高于2021年度鄞州区土地供应总量（</w:t>
      </w:r>
      <w:r>
        <w:rPr>
          <w:rFonts w:ascii="Times New Roman" w:hAnsi="Times New Roman" w:eastAsia="仿宋_GB2312" w:cs="仿宋"/>
          <w:kern w:val="0"/>
          <w:sz w:val="30"/>
          <w:szCs w:val="30"/>
          <w:lang w:bidi="zh-CN"/>
        </w:rPr>
        <w:t>162.1300</w:t>
      </w:r>
      <w:r>
        <w:rPr>
          <w:rFonts w:hint="eastAsia" w:ascii="Times New Roman" w:hAnsi="Times New Roman" w:eastAsia="仿宋_GB2312" w:cs="仿宋"/>
          <w:kern w:val="0"/>
          <w:sz w:val="30"/>
          <w:szCs w:val="30"/>
          <w:lang w:bidi="zh-CN"/>
        </w:rPr>
        <w:t>公顷），近5年平均供地率（不含单独选址）达到7</w:t>
      </w:r>
      <w:r>
        <w:rPr>
          <w:rFonts w:ascii="Times New Roman" w:hAnsi="Times New Roman" w:eastAsia="仿宋_GB2312" w:cs="仿宋"/>
          <w:kern w:val="0"/>
          <w:sz w:val="30"/>
          <w:szCs w:val="30"/>
          <w:lang w:bidi="zh-CN"/>
        </w:rPr>
        <w:t>1.50</w:t>
      </w:r>
      <w:r>
        <w:rPr>
          <w:rFonts w:hint="eastAsia" w:ascii="Times New Roman" w:hAnsi="Times New Roman" w:eastAsia="仿宋_GB2312" w:cs="仿宋"/>
          <w:kern w:val="0"/>
          <w:sz w:val="30"/>
          <w:szCs w:val="30"/>
          <w:lang w:bidi="zh-CN"/>
        </w:rPr>
        <w:t>%；闲置土地</w:t>
      </w:r>
      <w:r>
        <w:rPr>
          <w:rFonts w:ascii="Times New Roman" w:hAnsi="Times New Roman" w:eastAsia="仿宋_GB2312" w:cs="仿宋"/>
          <w:kern w:val="0"/>
          <w:sz w:val="30"/>
          <w:szCs w:val="30"/>
          <w:lang w:bidi="zh-CN"/>
        </w:rPr>
        <w:t>3.7234</w:t>
      </w:r>
      <w:r>
        <w:rPr>
          <w:rFonts w:hint="eastAsia" w:ascii="Times New Roman" w:hAnsi="Times New Roman" w:eastAsia="仿宋_GB2312" w:cs="仿宋"/>
          <w:kern w:val="0"/>
          <w:sz w:val="30"/>
          <w:szCs w:val="30"/>
          <w:lang w:bidi="zh-CN"/>
        </w:rPr>
        <w:t>公顷，土地闲置率远低于5%。</w:t>
      </w:r>
      <w:r>
        <w:rPr>
          <w:rFonts w:ascii="Times New Roman" w:hAnsi="Times New Roman" w:eastAsia="仿宋_GB2312" w:cs="仿宋"/>
          <w:kern w:val="0"/>
          <w:sz w:val="30"/>
          <w:szCs w:val="30"/>
          <w:lang w:bidi="zh-CN"/>
        </w:rPr>
        <w:t>鄞州区</w:t>
      </w:r>
      <w:r>
        <w:rPr>
          <w:rFonts w:hint="eastAsia" w:ascii="Times New Roman" w:hAnsi="Times New Roman" w:eastAsia="仿宋_GB2312" w:cs="仿宋"/>
          <w:kern w:val="0"/>
          <w:sz w:val="30"/>
          <w:szCs w:val="30"/>
          <w:lang w:bidi="zh-CN"/>
        </w:rPr>
        <w:t>2</w:t>
      </w:r>
      <w:r>
        <w:rPr>
          <w:rFonts w:ascii="Times New Roman" w:hAnsi="Times New Roman" w:eastAsia="仿宋_GB2312" w:cs="仿宋"/>
          <w:kern w:val="0"/>
          <w:sz w:val="30"/>
          <w:szCs w:val="30"/>
          <w:lang w:bidi="zh-CN"/>
        </w:rPr>
        <w:t>020年内</w:t>
      </w:r>
      <w:r>
        <w:rPr>
          <w:rFonts w:hint="eastAsia" w:ascii="Times New Roman" w:hAnsi="Times New Roman" w:eastAsia="仿宋_GB2312" w:cs="仿宋"/>
          <w:kern w:val="0"/>
          <w:sz w:val="30"/>
          <w:szCs w:val="30"/>
          <w:lang w:bidi="zh-CN"/>
        </w:rPr>
        <w:t>处理批而未供土地</w:t>
      </w:r>
      <w:r>
        <w:rPr>
          <w:rFonts w:ascii="Times New Roman" w:hAnsi="Times New Roman" w:eastAsia="仿宋_GB2312" w:cs="仿宋"/>
          <w:kern w:val="0"/>
          <w:sz w:val="30"/>
          <w:szCs w:val="30"/>
          <w:lang w:bidi="zh-CN"/>
        </w:rPr>
        <w:t>299.3706</w:t>
      </w:r>
      <w:r>
        <w:rPr>
          <w:rFonts w:hint="eastAsia" w:ascii="Times New Roman" w:hAnsi="Times New Roman" w:eastAsia="仿宋_GB2312" w:cs="仿宋"/>
          <w:kern w:val="0"/>
          <w:sz w:val="30"/>
          <w:szCs w:val="30"/>
          <w:lang w:bidi="zh-CN"/>
        </w:rPr>
        <w:t>公顷，占批而未供土地总量的</w:t>
      </w:r>
      <w:r>
        <w:rPr>
          <w:rFonts w:ascii="Times New Roman" w:hAnsi="Times New Roman" w:eastAsia="仿宋_GB2312" w:cs="仿宋"/>
          <w:kern w:val="0"/>
          <w:sz w:val="30"/>
          <w:szCs w:val="30"/>
          <w:lang w:bidi="zh-CN"/>
        </w:rPr>
        <w:t>31.37</w:t>
      </w:r>
      <w:r>
        <w:rPr>
          <w:rFonts w:hint="eastAsia" w:ascii="Times New Roman" w:hAnsi="Times New Roman" w:eastAsia="仿宋_GB2312" w:cs="仿宋"/>
          <w:kern w:val="0"/>
          <w:sz w:val="30"/>
          <w:szCs w:val="30"/>
          <w:lang w:bidi="zh-CN"/>
        </w:rPr>
        <w:t>%；处理闲置土地</w:t>
      </w:r>
      <w:r>
        <w:rPr>
          <w:rFonts w:ascii="Times New Roman" w:hAnsi="Times New Roman" w:eastAsia="仿宋_GB2312" w:cs="仿宋"/>
          <w:kern w:val="0"/>
          <w:sz w:val="30"/>
          <w:szCs w:val="30"/>
          <w:lang w:bidi="zh-CN"/>
        </w:rPr>
        <w:t>3.9379</w:t>
      </w:r>
      <w:r>
        <w:rPr>
          <w:rFonts w:hint="eastAsia" w:ascii="Times New Roman" w:hAnsi="Times New Roman" w:eastAsia="仿宋_GB2312" w:cs="仿宋"/>
          <w:kern w:val="0"/>
          <w:sz w:val="30"/>
          <w:szCs w:val="30"/>
          <w:lang w:bidi="zh-CN"/>
        </w:rPr>
        <w:t>公顷，占闲置土地总量</w:t>
      </w:r>
      <w:r>
        <w:rPr>
          <w:rFonts w:ascii="Times New Roman" w:hAnsi="Times New Roman" w:eastAsia="仿宋_GB2312" w:cs="仿宋"/>
          <w:kern w:val="0"/>
          <w:sz w:val="30"/>
          <w:szCs w:val="30"/>
          <w:lang w:bidi="zh-CN"/>
        </w:rPr>
        <w:t>51.40</w:t>
      </w:r>
      <w:r>
        <w:rPr>
          <w:rFonts w:hint="eastAsia" w:ascii="Times New Roman" w:hAnsi="Times New Roman" w:eastAsia="仿宋_GB2312" w:cs="仿宋"/>
          <w:kern w:val="0"/>
          <w:sz w:val="30"/>
          <w:szCs w:val="30"/>
          <w:lang w:bidi="zh-CN"/>
        </w:rPr>
        <w:t>%，符合市辖区成片开发方案关于年内处理完成批而未供土地总量2</w:t>
      </w:r>
      <w:r>
        <w:rPr>
          <w:rFonts w:ascii="Times New Roman" w:hAnsi="Times New Roman" w:eastAsia="仿宋_GB2312" w:cs="仿宋"/>
          <w:kern w:val="0"/>
          <w:sz w:val="30"/>
          <w:szCs w:val="30"/>
          <w:lang w:bidi="zh-CN"/>
        </w:rPr>
        <w:t>0</w:t>
      </w:r>
      <w:r>
        <w:rPr>
          <w:rFonts w:hint="eastAsia" w:ascii="Times New Roman" w:hAnsi="Times New Roman" w:eastAsia="仿宋_GB2312" w:cs="仿宋"/>
          <w:kern w:val="0"/>
          <w:sz w:val="30"/>
          <w:szCs w:val="30"/>
          <w:lang w:bidi="zh-CN"/>
        </w:rPr>
        <w:t>%、处置闲置土地总量2</w:t>
      </w:r>
      <w:r>
        <w:rPr>
          <w:rFonts w:ascii="Times New Roman" w:hAnsi="Times New Roman" w:eastAsia="仿宋_GB2312" w:cs="仿宋"/>
          <w:kern w:val="0"/>
          <w:sz w:val="30"/>
          <w:szCs w:val="30"/>
          <w:lang w:bidi="zh-CN"/>
        </w:rPr>
        <w:t>0</w:t>
      </w:r>
      <w:r>
        <w:rPr>
          <w:rFonts w:hint="eastAsia" w:ascii="Times New Roman" w:hAnsi="Times New Roman" w:eastAsia="仿宋_GB2312" w:cs="仿宋"/>
          <w:kern w:val="0"/>
          <w:sz w:val="30"/>
          <w:szCs w:val="30"/>
          <w:lang w:bidi="zh-CN"/>
        </w:rPr>
        <w:t>%的规定。</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按照202</w:t>
      </w:r>
      <w:r>
        <w:rPr>
          <w:rFonts w:ascii="Times New Roman" w:hAnsi="Times New Roman" w:eastAsia="仿宋_GB2312" w:cs="仿宋"/>
          <w:kern w:val="0"/>
          <w:sz w:val="30"/>
          <w:szCs w:val="30"/>
          <w:lang w:bidi="zh-CN"/>
        </w:rPr>
        <w:t>1</w:t>
      </w:r>
      <w:r>
        <w:rPr>
          <w:rFonts w:hint="eastAsia" w:ascii="Times New Roman" w:hAnsi="Times New Roman" w:eastAsia="仿宋_GB2312" w:cs="仿宋"/>
          <w:kern w:val="0"/>
          <w:sz w:val="30"/>
          <w:szCs w:val="30"/>
          <w:lang w:bidi="zh-CN"/>
        </w:rPr>
        <w:t>年度浙江省省级以上开发区土地集约利用评价结果，鄞州工业园区亩均固定资产投资总额为</w:t>
      </w:r>
      <w:r>
        <w:rPr>
          <w:rFonts w:ascii="Times New Roman" w:hAnsi="Times New Roman" w:eastAsia="仿宋_GB2312" w:cs="仿宋"/>
          <w:kern w:val="0"/>
          <w:sz w:val="30"/>
          <w:szCs w:val="30"/>
          <w:lang w:bidi="zh-CN"/>
        </w:rPr>
        <w:t>9.47</w:t>
      </w:r>
      <w:r>
        <w:rPr>
          <w:rFonts w:hint="eastAsia" w:ascii="Times New Roman" w:hAnsi="Times New Roman" w:eastAsia="仿宋_GB2312" w:cs="仿宋"/>
          <w:kern w:val="0"/>
          <w:sz w:val="30"/>
          <w:szCs w:val="30"/>
          <w:lang w:bidi="zh-CN"/>
        </w:rPr>
        <w:t>万元/亩、亩均税收为</w:t>
      </w:r>
      <w:r>
        <w:rPr>
          <w:rFonts w:ascii="Times New Roman" w:hAnsi="Times New Roman" w:eastAsia="仿宋_GB2312" w:cs="仿宋"/>
          <w:kern w:val="0"/>
          <w:sz w:val="30"/>
          <w:szCs w:val="30"/>
          <w:lang w:bidi="zh-CN"/>
        </w:rPr>
        <w:t>60.57</w:t>
      </w:r>
      <w:r>
        <w:rPr>
          <w:rFonts w:hint="eastAsia" w:ascii="Times New Roman" w:hAnsi="Times New Roman" w:eastAsia="仿宋_GB2312" w:cs="仿宋"/>
          <w:kern w:val="0"/>
          <w:sz w:val="30"/>
          <w:szCs w:val="30"/>
          <w:lang w:bidi="zh-CN"/>
        </w:rPr>
        <w:t>万元/亩、综合容积率为0</w:t>
      </w:r>
      <w:r>
        <w:rPr>
          <w:rFonts w:ascii="Times New Roman" w:hAnsi="Times New Roman" w:eastAsia="仿宋_GB2312" w:cs="仿宋"/>
          <w:kern w:val="0"/>
          <w:sz w:val="30"/>
          <w:szCs w:val="30"/>
          <w:lang w:bidi="zh-CN"/>
        </w:rPr>
        <w:t>.97</w:t>
      </w:r>
      <w:r>
        <w:rPr>
          <w:rFonts w:hint="eastAsia" w:ascii="Times New Roman" w:hAnsi="Times New Roman" w:eastAsia="仿宋_GB2312" w:cs="仿宋"/>
          <w:kern w:val="0"/>
          <w:sz w:val="30"/>
          <w:szCs w:val="30"/>
          <w:lang w:bidi="zh-CN"/>
        </w:rPr>
        <w:t>。</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根据卫片执法结果，2020年鄞州区违法违规用地共计</w:t>
      </w:r>
      <w:r>
        <w:rPr>
          <w:rFonts w:ascii="Times New Roman" w:hAnsi="Times New Roman" w:eastAsia="仿宋_GB2312" w:cs="仿宋"/>
          <w:kern w:val="0"/>
          <w:sz w:val="30"/>
          <w:szCs w:val="30"/>
          <w:lang w:bidi="zh-CN"/>
        </w:rPr>
        <w:t>4</w:t>
      </w:r>
      <w:r>
        <w:rPr>
          <w:rFonts w:hint="eastAsia" w:ascii="Times New Roman" w:hAnsi="Times New Roman" w:eastAsia="仿宋_GB2312" w:cs="仿宋"/>
          <w:kern w:val="0"/>
          <w:sz w:val="30"/>
          <w:szCs w:val="30"/>
          <w:lang w:bidi="zh-CN"/>
        </w:rPr>
        <w:t>起，土地违法事件发生率较低，土地法制建设成效明显。</w:t>
      </w:r>
    </w:p>
    <w:p>
      <w:pPr>
        <w:pStyle w:val="3"/>
        <w:numPr>
          <w:ilvl w:val="0"/>
          <w:numId w:val="2"/>
        </w:numPr>
        <w:rPr>
          <w:rFonts w:ascii="仿宋_GB2312" w:hAnsi="仿宋_GB2312" w:eastAsia="仿宋_GB2312" w:cs="仿宋_GB2312"/>
          <w:kern w:val="0"/>
          <w:szCs w:val="22"/>
          <w:lang w:bidi="zh-CN"/>
        </w:rPr>
      </w:pPr>
      <w:bookmarkStart w:id="6" w:name="_Toc86252590"/>
      <w:r>
        <w:rPr>
          <w:rFonts w:hint="eastAsia" w:ascii="仿宋_GB2312" w:hAnsi="仿宋_GB2312" w:eastAsia="仿宋_GB2312" w:cs="仿宋_GB2312"/>
          <w:kern w:val="0"/>
          <w:szCs w:val="22"/>
          <w:lang w:bidi="zh-CN"/>
        </w:rPr>
        <w:t>财力状况及资金保证能力</w:t>
      </w:r>
      <w:bookmarkEnd w:id="6"/>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根据2021年上半年全区和区级预算执行情况的报告，上半年全区(包括东钱湖旅游度假区、高新园区)完成财政总收入3098436万元，为预算的64.7%，同比增长16.0%。</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鄞州区完成财政总收入2506150万元，为预算的66.0%，增长14.2%。</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上半年鄞州区一般公共预算支出847796万元，完成预算的47.8%。</w:t>
      </w:r>
    </w:p>
    <w:p>
      <w:pPr>
        <w:pStyle w:val="5"/>
        <w:numPr>
          <w:ilvl w:val="0"/>
          <w:numId w:val="6"/>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2021年上半年政府基金预算执行情况</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鄞州区完成基金预算收入12169万元，为预算的87.2%。</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上半年收到上级转移支付收入372392万元（其中：上级土地出让金相关补助365693万元）。专项政府债券62000万元。</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鄞州区基金预算支出264885万元，为预算的15.4%。</w:t>
      </w:r>
    </w:p>
    <w:p>
      <w:pPr>
        <w:pStyle w:val="5"/>
        <w:numPr>
          <w:ilvl w:val="0"/>
          <w:numId w:val="6"/>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2021年上半年社保基金预算执行情况</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社保基金收入132549万元，支出119770万元。社保基金预算半年度结余为148729万元。</w:t>
      </w:r>
    </w:p>
    <w:p>
      <w:pPr>
        <w:pStyle w:val="5"/>
        <w:numPr>
          <w:ilvl w:val="0"/>
          <w:numId w:val="6"/>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2021年上半年国有资本经营预算执行情况</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国有资本经营预算收入1101万元，为预算的30.8%。国有资本经营预算支出20万元,为预算的0.6%。国有资本经营预算半年度结余为1081万元。</w:t>
      </w:r>
    </w:p>
    <w:p>
      <w:pPr>
        <w:pStyle w:val="5"/>
        <w:numPr>
          <w:ilvl w:val="0"/>
          <w:numId w:val="6"/>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上半年地方政府性债务执行情况</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上半年鄞州区债务举借额146780万元，其中一般债券到期再融资84780万元,专项债券发行62000万元；上半年鄞州区债务偿还额84780万元，其中一般债券到期偿还84780万元。6月末一般债务余额969526万元；专项债务余额801568万元。债务余额满足市财政局确定的2021年鄞州区政府债务限额；新增债券已依法编制调整预算（草案）并提交区人大审议。</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鄞州区税收收入占一般公共预算收入的比重高于全市平均水平，财政政策切实有效。鄞州区财力状况良好，且资金保证能力强。</w:t>
      </w:r>
    </w:p>
    <w:p>
      <w:pPr>
        <w:pStyle w:val="7"/>
        <w:numPr>
          <w:ilvl w:val="0"/>
          <w:numId w:val="1"/>
        </w:numPr>
        <w:autoSpaceDE w:val="0"/>
        <w:autoSpaceDN w:val="0"/>
        <w:spacing w:before="159" w:line="360" w:lineRule="auto"/>
        <w:jc w:val="left"/>
        <w:outlineLvl w:val="0"/>
        <w:rPr>
          <w:rFonts w:ascii="黑体" w:eastAsia="黑体"/>
          <w:kern w:val="0"/>
          <w:lang w:val="en-US"/>
        </w:rPr>
      </w:pPr>
      <w:bookmarkStart w:id="7" w:name="_Toc86252591"/>
      <w:r>
        <w:rPr>
          <w:rFonts w:hint="eastAsia" w:ascii="黑体" w:eastAsia="黑体"/>
          <w:kern w:val="0"/>
          <w:lang w:val="en-US"/>
        </w:rPr>
        <w:t>成片开发土地利用情况</w:t>
      </w:r>
      <w:bookmarkEnd w:id="7"/>
    </w:p>
    <w:p>
      <w:pPr>
        <w:pStyle w:val="3"/>
        <w:numPr>
          <w:ilvl w:val="0"/>
          <w:numId w:val="7"/>
        </w:numPr>
        <w:rPr>
          <w:rFonts w:ascii="仿宋_GB2312" w:hAnsi="仿宋_GB2312" w:eastAsia="仿宋_GB2312" w:cs="仿宋_GB2312"/>
          <w:kern w:val="0"/>
          <w:szCs w:val="22"/>
          <w:lang w:bidi="zh-CN"/>
        </w:rPr>
      </w:pPr>
      <w:bookmarkStart w:id="8" w:name="_Toc86252592"/>
      <w:r>
        <w:rPr>
          <w:rFonts w:hint="eastAsia" w:ascii="仿宋_GB2312" w:hAnsi="仿宋_GB2312" w:eastAsia="仿宋_GB2312" w:cs="仿宋_GB2312"/>
          <w:kern w:val="0"/>
          <w:szCs w:val="22"/>
          <w:lang w:bidi="zh-CN"/>
        </w:rPr>
        <w:t>土地开发利用状况</w:t>
      </w:r>
      <w:bookmarkEnd w:id="8"/>
    </w:p>
    <w:p>
      <w:pPr>
        <w:pStyle w:val="5"/>
        <w:numPr>
          <w:ilvl w:val="0"/>
          <w:numId w:val="8"/>
        </w:numPr>
        <w:rPr>
          <w:rFonts w:ascii="Times New Roman" w:hAnsi="Times New Roman" w:eastAsia="仿宋_GB2312" w:cs="仿宋_GB2312"/>
          <w:b w:val="0"/>
          <w:kern w:val="0"/>
          <w:sz w:val="30"/>
          <w:szCs w:val="30"/>
          <w:lang w:bidi="zh-CN"/>
        </w:rPr>
      </w:pPr>
      <w:r>
        <w:rPr>
          <w:rFonts w:ascii="Times New Roman" w:hAnsi="Times New Roman" w:eastAsia="仿宋_GB2312" w:cs="仿宋_GB2312"/>
          <w:b w:val="0"/>
          <w:kern w:val="0"/>
          <w:sz w:val="30"/>
          <w:szCs w:val="30"/>
          <w:lang w:bidi="zh-CN"/>
        </w:rPr>
        <w:t>土地征收成片开发的范围、面积、开发片区数量</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《方案》申请的成片开发土地均位于鄞州区行政辖区范围内，总面积400.1625公顷，共计</w:t>
      </w:r>
      <w:r>
        <w:rPr>
          <w:rFonts w:ascii="Times New Roman" w:hAnsi="Times New Roman" w:eastAsia="仿宋_GB2312" w:cs="仿宋"/>
          <w:kern w:val="0"/>
          <w:sz w:val="30"/>
          <w:szCs w:val="30"/>
          <w:lang w:bidi="zh-CN"/>
        </w:rPr>
        <w:t>1</w:t>
      </w:r>
      <w:r>
        <w:rPr>
          <w:rFonts w:hint="eastAsia" w:ascii="Times New Roman" w:hAnsi="Times New Roman" w:eastAsia="仿宋_GB2312" w:cs="仿宋"/>
          <w:kern w:val="0"/>
          <w:sz w:val="30"/>
          <w:szCs w:val="30"/>
          <w:lang w:bidi="zh-CN"/>
        </w:rPr>
        <w:t>2个片区。</w:t>
      </w:r>
    </w:p>
    <w:p>
      <w:pPr>
        <w:pStyle w:val="20"/>
        <w:spacing w:line="360" w:lineRule="auto"/>
        <w:ind w:left="0" w:firstLine="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表1：成片开发范围及面积情况表</w:t>
      </w:r>
    </w:p>
    <w:p>
      <w:pPr>
        <w:pStyle w:val="20"/>
        <w:spacing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单位：公顷</w:t>
      </w:r>
    </w:p>
    <w:tbl>
      <w:tblPr>
        <w:tblStyle w:val="14"/>
        <w:tblW w:w="8926" w:type="dxa"/>
        <w:jc w:val="center"/>
        <w:tblLayout w:type="autofit"/>
        <w:tblCellMar>
          <w:top w:w="0" w:type="dxa"/>
          <w:left w:w="108" w:type="dxa"/>
          <w:bottom w:w="0" w:type="dxa"/>
          <w:right w:w="108" w:type="dxa"/>
        </w:tblCellMar>
      </w:tblPr>
      <w:tblGrid>
        <w:gridCol w:w="648"/>
        <w:gridCol w:w="2425"/>
        <w:gridCol w:w="2360"/>
        <w:gridCol w:w="2152"/>
        <w:gridCol w:w="1341"/>
      </w:tblGrid>
      <w:tr>
        <w:tblPrEx>
          <w:tblCellMar>
            <w:top w:w="0" w:type="dxa"/>
            <w:left w:w="108" w:type="dxa"/>
            <w:bottom w:w="0" w:type="dxa"/>
            <w:right w:w="108" w:type="dxa"/>
          </w:tblCellMar>
        </w:tblPrEx>
        <w:trPr>
          <w:trHeight w:val="626" w:hRule="atLeast"/>
          <w:tblHeader/>
          <w:jc w:val="center"/>
        </w:trPr>
        <w:tc>
          <w:tcPr>
            <w:tcW w:w="6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b/>
                <w:bCs/>
                <w:kern w:val="0"/>
                <w:sz w:val="28"/>
                <w:szCs w:val="28"/>
                <w:lang w:bidi="zh-CN"/>
              </w:rPr>
            </w:pPr>
            <w:r>
              <w:rPr>
                <w:rFonts w:hint="eastAsia" w:ascii="Times New Roman" w:hAnsi="Times New Roman" w:eastAsia="仿宋_GB2312" w:cs="仿宋"/>
                <w:b/>
                <w:bCs/>
                <w:kern w:val="0"/>
                <w:sz w:val="28"/>
                <w:szCs w:val="28"/>
                <w:lang w:bidi="zh-CN"/>
              </w:rPr>
              <w:t>序号</w:t>
            </w:r>
          </w:p>
        </w:tc>
        <w:tc>
          <w:tcPr>
            <w:tcW w:w="2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b/>
                <w:bCs/>
                <w:kern w:val="0"/>
                <w:sz w:val="28"/>
                <w:szCs w:val="28"/>
                <w:lang w:bidi="zh-CN"/>
              </w:rPr>
            </w:pPr>
            <w:r>
              <w:rPr>
                <w:rFonts w:hint="eastAsia" w:ascii="Times New Roman" w:hAnsi="Times New Roman" w:eastAsia="仿宋_GB2312" w:cs="仿宋"/>
                <w:b/>
                <w:bCs/>
                <w:kern w:val="0"/>
                <w:sz w:val="28"/>
                <w:szCs w:val="28"/>
                <w:lang w:bidi="zh-CN"/>
              </w:rPr>
              <w:t>开发片区</w:t>
            </w:r>
          </w:p>
          <w:p>
            <w:pPr>
              <w:widowControl/>
              <w:jc w:val="center"/>
              <w:rPr>
                <w:rFonts w:ascii="Times New Roman" w:hAnsi="Times New Roman" w:eastAsia="仿宋_GB2312" w:cs="仿宋"/>
                <w:b/>
                <w:bCs/>
                <w:kern w:val="0"/>
                <w:sz w:val="28"/>
                <w:szCs w:val="28"/>
                <w:lang w:bidi="zh-CN"/>
              </w:rPr>
            </w:pPr>
            <w:r>
              <w:rPr>
                <w:rFonts w:hint="eastAsia" w:ascii="Times New Roman" w:hAnsi="Times New Roman" w:eastAsia="仿宋_GB2312" w:cs="仿宋"/>
                <w:b/>
                <w:bCs/>
                <w:kern w:val="0"/>
                <w:sz w:val="28"/>
                <w:szCs w:val="28"/>
                <w:lang w:bidi="zh-CN"/>
              </w:rPr>
              <w:t>编号</w:t>
            </w:r>
          </w:p>
        </w:tc>
        <w:tc>
          <w:tcPr>
            <w:tcW w:w="23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b/>
                <w:bCs/>
                <w:kern w:val="0"/>
                <w:sz w:val="28"/>
                <w:szCs w:val="28"/>
                <w:lang w:bidi="zh-CN"/>
              </w:rPr>
            </w:pPr>
            <w:r>
              <w:rPr>
                <w:rFonts w:hint="eastAsia" w:ascii="Times New Roman" w:hAnsi="Times New Roman" w:eastAsia="仿宋_GB2312" w:cs="仿宋"/>
                <w:b/>
                <w:bCs/>
                <w:kern w:val="0"/>
                <w:sz w:val="28"/>
                <w:szCs w:val="28"/>
                <w:lang w:bidi="zh-CN"/>
              </w:rPr>
              <w:t>开发片区名称</w:t>
            </w:r>
          </w:p>
        </w:tc>
        <w:tc>
          <w:tcPr>
            <w:tcW w:w="21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b/>
                <w:bCs/>
                <w:kern w:val="0"/>
                <w:sz w:val="28"/>
                <w:szCs w:val="28"/>
                <w:lang w:bidi="zh-CN"/>
              </w:rPr>
            </w:pPr>
            <w:r>
              <w:rPr>
                <w:rFonts w:hint="eastAsia" w:ascii="Times New Roman" w:hAnsi="Times New Roman" w:eastAsia="仿宋_GB2312" w:cs="仿宋"/>
                <w:b/>
                <w:bCs/>
                <w:kern w:val="0"/>
                <w:sz w:val="28"/>
                <w:szCs w:val="28"/>
                <w:lang w:bidi="zh-CN"/>
              </w:rPr>
              <w:t>所在乡（镇、街道）或园区名称</w:t>
            </w:r>
          </w:p>
        </w:tc>
        <w:tc>
          <w:tcPr>
            <w:tcW w:w="1341"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仿宋"/>
                <w:b/>
                <w:bCs/>
                <w:kern w:val="0"/>
                <w:sz w:val="28"/>
                <w:szCs w:val="28"/>
                <w:lang w:bidi="zh-CN"/>
              </w:rPr>
            </w:pPr>
            <w:r>
              <w:rPr>
                <w:rFonts w:hint="eastAsia" w:ascii="Times New Roman" w:hAnsi="Times New Roman" w:eastAsia="仿宋_GB2312" w:cs="仿宋"/>
                <w:b/>
                <w:bCs/>
                <w:kern w:val="0"/>
                <w:sz w:val="28"/>
                <w:szCs w:val="28"/>
                <w:lang w:bidi="zh-CN"/>
              </w:rPr>
              <w:t>面积</w:t>
            </w:r>
          </w:p>
        </w:tc>
      </w:tr>
      <w:tr>
        <w:tblPrEx>
          <w:tblCellMar>
            <w:top w:w="0" w:type="dxa"/>
            <w:left w:w="108" w:type="dxa"/>
            <w:bottom w:w="0" w:type="dxa"/>
            <w:right w:w="108" w:type="dxa"/>
          </w:tblCellMar>
        </w:tblPrEx>
        <w:trPr>
          <w:trHeight w:val="12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w:t>
            </w:r>
          </w:p>
        </w:tc>
        <w:tc>
          <w:tcPr>
            <w:tcW w:w="24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CP330212-2021-</w:t>
            </w:r>
            <w:r>
              <w:rPr>
                <w:rFonts w:ascii="Times New Roman" w:hAnsi="Times New Roman" w:eastAsia="仿宋_GB2312" w:cs="仿宋"/>
                <w:kern w:val="0"/>
                <w:sz w:val="28"/>
                <w:szCs w:val="28"/>
                <w:lang w:bidi="zh-CN"/>
              </w:rPr>
              <w:t>11</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鄞州下应洋江水岸北侧片区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下应街道</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10.041</w:t>
            </w:r>
            <w:r>
              <w:rPr>
                <w:rFonts w:hint="eastAsia" w:ascii="Times New Roman" w:hAnsi="Times New Roman" w:eastAsia="仿宋_GB2312" w:cs="仿宋"/>
                <w:kern w:val="0"/>
                <w:sz w:val="28"/>
                <w:szCs w:val="28"/>
                <w:lang w:bidi="zh-CN"/>
              </w:rPr>
              <w:t>7</w:t>
            </w:r>
          </w:p>
        </w:tc>
      </w:tr>
      <w:tr>
        <w:tblPrEx>
          <w:tblCellMar>
            <w:top w:w="0" w:type="dxa"/>
            <w:left w:w="108" w:type="dxa"/>
            <w:bottom w:w="0" w:type="dxa"/>
            <w:right w:w="108" w:type="dxa"/>
          </w:tblCellMar>
        </w:tblPrEx>
        <w:trPr>
          <w:trHeight w:val="27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CP330212-2021-12</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鄞州中医院西侧片区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下应街道</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8.3946</w:t>
            </w:r>
          </w:p>
        </w:tc>
      </w:tr>
      <w:tr>
        <w:tblPrEx>
          <w:tblCellMar>
            <w:top w:w="0" w:type="dxa"/>
            <w:left w:w="108" w:type="dxa"/>
            <w:bottom w:w="0" w:type="dxa"/>
            <w:right w:w="108" w:type="dxa"/>
          </w:tblCellMar>
        </w:tblPrEx>
        <w:trPr>
          <w:trHeight w:val="27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3</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CP330212-2021-15</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轨道交通3号线姜山站北片区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首南街道、东吴镇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27.4600</w:t>
            </w:r>
          </w:p>
        </w:tc>
      </w:tr>
      <w:tr>
        <w:tblPrEx>
          <w:tblCellMar>
            <w:top w:w="0" w:type="dxa"/>
            <w:left w:w="108" w:type="dxa"/>
            <w:bottom w:w="0" w:type="dxa"/>
            <w:right w:w="108" w:type="dxa"/>
          </w:tblCellMar>
        </w:tblPrEx>
        <w:trPr>
          <w:trHeight w:val="45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CP330212-2021-16</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姜山镇狮山公园西南片区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姜山镇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42.6041</w:t>
            </w:r>
          </w:p>
        </w:tc>
      </w:tr>
      <w:tr>
        <w:tblPrEx>
          <w:tblCellMar>
            <w:top w:w="0" w:type="dxa"/>
            <w:left w:w="108" w:type="dxa"/>
            <w:bottom w:w="0" w:type="dxa"/>
            <w:right w:w="108" w:type="dxa"/>
          </w:tblCellMar>
        </w:tblPrEx>
        <w:trPr>
          <w:trHeight w:val="45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CP330212-2021-17</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姜山未来社区片区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姜山镇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22.8224</w:t>
            </w:r>
          </w:p>
        </w:tc>
      </w:tr>
      <w:tr>
        <w:tblPrEx>
          <w:tblCellMar>
            <w:top w:w="0" w:type="dxa"/>
            <w:left w:w="108" w:type="dxa"/>
            <w:bottom w:w="0" w:type="dxa"/>
            <w:right w:w="108" w:type="dxa"/>
          </w:tblCellMar>
        </w:tblPrEx>
        <w:trPr>
          <w:trHeight w:val="45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6</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CP330212-2021-18</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姜山朝阳1号工业片区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姜山镇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20.4544</w:t>
            </w:r>
          </w:p>
        </w:tc>
      </w:tr>
      <w:tr>
        <w:tblPrEx>
          <w:tblCellMar>
            <w:top w:w="0" w:type="dxa"/>
            <w:left w:w="108" w:type="dxa"/>
            <w:bottom w:w="0" w:type="dxa"/>
            <w:right w:w="108" w:type="dxa"/>
          </w:tblCellMar>
        </w:tblPrEx>
        <w:trPr>
          <w:trHeight w:val="45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7</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CP330212-2021-19</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云龙镇核心片区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云龙镇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28.9254</w:t>
            </w:r>
          </w:p>
        </w:tc>
      </w:tr>
      <w:tr>
        <w:tblPrEx>
          <w:tblCellMar>
            <w:top w:w="0" w:type="dxa"/>
            <w:left w:w="108" w:type="dxa"/>
            <w:bottom w:w="0" w:type="dxa"/>
            <w:right w:w="108" w:type="dxa"/>
          </w:tblCellMar>
        </w:tblPrEx>
        <w:trPr>
          <w:trHeight w:val="45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8</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CP330212-2021-21</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横溪片区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横溪镇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65.6988</w:t>
            </w:r>
          </w:p>
        </w:tc>
      </w:tr>
      <w:tr>
        <w:tblPrEx>
          <w:tblCellMar>
            <w:top w:w="0" w:type="dxa"/>
            <w:left w:w="108" w:type="dxa"/>
            <w:bottom w:w="0" w:type="dxa"/>
            <w:right w:w="108" w:type="dxa"/>
          </w:tblCellMar>
        </w:tblPrEx>
        <w:trPr>
          <w:trHeight w:val="45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9</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CP330212-2021-22</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龙汇未来社区片区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五乡镇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51.0501</w:t>
            </w:r>
          </w:p>
        </w:tc>
      </w:tr>
      <w:tr>
        <w:tblPrEx>
          <w:tblCellMar>
            <w:top w:w="0" w:type="dxa"/>
            <w:left w:w="108" w:type="dxa"/>
            <w:bottom w:w="0" w:type="dxa"/>
            <w:right w:w="108" w:type="dxa"/>
          </w:tblCellMar>
        </w:tblPrEx>
        <w:trPr>
          <w:trHeight w:val="45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10</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CP330212-2021-23</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李家洋</w:t>
            </w:r>
            <w:r>
              <w:rPr>
                <w:rFonts w:hint="eastAsia" w:ascii="Times New Roman" w:hAnsi="Times New Roman" w:eastAsia="仿宋_GB2312" w:cs="仿宋"/>
                <w:kern w:val="0"/>
                <w:sz w:val="28"/>
                <w:szCs w:val="28"/>
                <w:lang w:bidi="zh-CN"/>
              </w:rPr>
              <w:t>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五乡镇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110.0724</w:t>
            </w:r>
          </w:p>
        </w:tc>
      </w:tr>
      <w:tr>
        <w:tblPrEx>
          <w:tblCellMar>
            <w:top w:w="0" w:type="dxa"/>
            <w:left w:w="108" w:type="dxa"/>
            <w:bottom w:w="0" w:type="dxa"/>
            <w:right w:w="108" w:type="dxa"/>
          </w:tblCellMar>
        </w:tblPrEx>
        <w:trPr>
          <w:trHeight w:val="45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11</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CP330212-2021-26</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东吴镇DW01-02-11a片区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东吴镇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1.2241</w:t>
            </w:r>
          </w:p>
        </w:tc>
      </w:tr>
      <w:tr>
        <w:tblPrEx>
          <w:tblCellMar>
            <w:top w:w="0" w:type="dxa"/>
            <w:left w:w="108" w:type="dxa"/>
            <w:bottom w:w="0" w:type="dxa"/>
            <w:right w:w="108" w:type="dxa"/>
          </w:tblCellMar>
        </w:tblPrEx>
        <w:trPr>
          <w:trHeight w:val="450" w:hRule="atLeast"/>
          <w:jc w:val="center"/>
        </w:trPr>
        <w:tc>
          <w:tcPr>
            <w:tcW w:w="648"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12</w:t>
            </w:r>
          </w:p>
        </w:tc>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CP330212-2021-28</w:t>
            </w:r>
          </w:p>
        </w:tc>
        <w:tc>
          <w:tcPr>
            <w:tcW w:w="2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鄞州区JK01-03-b4、c2片区</w:t>
            </w:r>
          </w:p>
        </w:tc>
        <w:tc>
          <w:tcPr>
            <w:tcW w:w="21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瞻岐镇</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11.4145</w:t>
            </w:r>
          </w:p>
        </w:tc>
      </w:tr>
      <w:tr>
        <w:tblPrEx>
          <w:tblCellMar>
            <w:top w:w="0" w:type="dxa"/>
            <w:left w:w="108" w:type="dxa"/>
            <w:bottom w:w="0" w:type="dxa"/>
            <w:right w:w="108" w:type="dxa"/>
          </w:tblCellMar>
        </w:tblPrEx>
        <w:trPr>
          <w:trHeight w:val="530" w:hRule="atLeast"/>
          <w:jc w:val="center"/>
        </w:trPr>
        <w:tc>
          <w:tcPr>
            <w:tcW w:w="7585"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合计</w:t>
            </w:r>
          </w:p>
        </w:tc>
        <w:tc>
          <w:tcPr>
            <w:tcW w:w="13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30"/>
                <w:szCs w:val="30"/>
                <w:lang w:bidi="zh-CN"/>
              </w:rPr>
              <w:t>400.1625</w:t>
            </w:r>
          </w:p>
        </w:tc>
      </w:tr>
    </w:tbl>
    <w:p>
      <w:pPr>
        <w:pStyle w:val="5"/>
        <w:numPr>
          <w:ilvl w:val="0"/>
          <w:numId w:val="8"/>
        </w:numPr>
        <w:rPr>
          <w:rFonts w:ascii="Times New Roman" w:hAnsi="Times New Roman" w:eastAsia="仿宋_GB2312" w:cs="仿宋_GB2312"/>
          <w:b w:val="0"/>
          <w:kern w:val="0"/>
          <w:sz w:val="30"/>
          <w:szCs w:val="30"/>
          <w:lang w:bidi="zh-CN"/>
        </w:rPr>
      </w:pPr>
      <w:r>
        <w:rPr>
          <w:rFonts w:ascii="Times New Roman" w:hAnsi="Times New Roman" w:eastAsia="仿宋_GB2312" w:cs="仿宋_GB2312"/>
          <w:b w:val="0"/>
          <w:kern w:val="0"/>
          <w:sz w:val="30"/>
          <w:szCs w:val="30"/>
          <w:lang w:bidi="zh-CN"/>
        </w:rPr>
        <w:t>土地利用现状地类</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根据第三次全国土地利用现状调查数据，成片开发范围内农用地</w:t>
      </w:r>
      <w:r>
        <w:rPr>
          <w:rFonts w:hint="eastAsia" w:ascii="Times New Roman" w:hAnsi="Times New Roman" w:eastAsia="仿宋_GB2312" w:cs="仿宋"/>
          <w:kern w:val="0"/>
          <w:sz w:val="28"/>
          <w:szCs w:val="28"/>
          <w:lang w:bidi="zh-CN"/>
        </w:rPr>
        <w:t>158.3669</w:t>
      </w:r>
      <w:r>
        <w:rPr>
          <w:rFonts w:hint="eastAsia" w:ascii="Times New Roman" w:hAnsi="Times New Roman" w:eastAsia="仿宋_GB2312" w:cs="仿宋"/>
          <w:kern w:val="0"/>
          <w:sz w:val="30"/>
          <w:szCs w:val="30"/>
          <w:lang w:bidi="zh-CN"/>
        </w:rPr>
        <w:t>公顷（其中耕地</w:t>
      </w:r>
      <w:r>
        <w:rPr>
          <w:rFonts w:hint="eastAsia" w:ascii="Times New Roman" w:hAnsi="Times New Roman" w:eastAsia="仿宋_GB2312" w:cs="仿宋"/>
          <w:kern w:val="0"/>
          <w:sz w:val="28"/>
          <w:szCs w:val="28"/>
          <w:lang w:bidi="zh-CN"/>
        </w:rPr>
        <w:t>115.2582</w:t>
      </w:r>
      <w:r>
        <w:rPr>
          <w:rFonts w:hint="eastAsia" w:ascii="Times New Roman" w:hAnsi="Times New Roman" w:eastAsia="仿宋_GB2312" w:cs="仿宋"/>
          <w:kern w:val="0"/>
          <w:sz w:val="30"/>
          <w:szCs w:val="30"/>
          <w:lang w:bidi="zh-CN"/>
        </w:rPr>
        <w:t>公顷），占开发片区总面积比例为</w:t>
      </w:r>
      <w:r>
        <w:rPr>
          <w:rFonts w:hint="eastAsia" w:ascii="Times New Roman" w:hAnsi="Times New Roman" w:eastAsia="仿宋_GB2312" w:cs="仿宋"/>
          <w:kern w:val="0"/>
          <w:sz w:val="28"/>
          <w:szCs w:val="28"/>
          <w:lang w:bidi="zh-CN"/>
        </w:rPr>
        <w:t>39.58%</w:t>
      </w:r>
      <w:r>
        <w:rPr>
          <w:rFonts w:hint="eastAsia" w:ascii="Times New Roman" w:hAnsi="Times New Roman" w:eastAsia="仿宋_GB2312" w:cs="仿宋"/>
          <w:kern w:val="0"/>
          <w:sz w:val="30"/>
          <w:szCs w:val="30"/>
          <w:lang w:bidi="zh-CN"/>
        </w:rPr>
        <w:t>；建设用地</w:t>
      </w:r>
      <w:r>
        <w:rPr>
          <w:rFonts w:hint="eastAsia" w:ascii="Times New Roman" w:hAnsi="Times New Roman" w:eastAsia="仿宋_GB2312" w:cs="仿宋"/>
          <w:kern w:val="0"/>
          <w:sz w:val="28"/>
          <w:szCs w:val="28"/>
          <w:lang w:bidi="zh-CN"/>
        </w:rPr>
        <w:t>217.4810</w:t>
      </w:r>
      <w:r>
        <w:rPr>
          <w:rFonts w:hint="eastAsia" w:ascii="Times New Roman" w:hAnsi="Times New Roman" w:eastAsia="仿宋_GB2312" w:cs="仿宋"/>
          <w:kern w:val="0"/>
          <w:sz w:val="30"/>
          <w:szCs w:val="30"/>
          <w:lang w:bidi="zh-CN"/>
        </w:rPr>
        <w:t>公顷，占开发片区总面积比例为</w:t>
      </w:r>
      <w:r>
        <w:rPr>
          <w:rFonts w:hint="eastAsia" w:ascii="Times New Roman" w:hAnsi="Times New Roman" w:eastAsia="仿宋_GB2312" w:cs="仿宋"/>
          <w:kern w:val="0"/>
          <w:sz w:val="28"/>
          <w:szCs w:val="28"/>
          <w:lang w:bidi="zh-CN"/>
        </w:rPr>
        <w:t>54.35%</w:t>
      </w:r>
      <w:r>
        <w:rPr>
          <w:rFonts w:hint="eastAsia" w:ascii="Times New Roman" w:hAnsi="Times New Roman" w:eastAsia="仿宋_GB2312" w:cs="仿宋"/>
          <w:kern w:val="0"/>
          <w:sz w:val="30"/>
          <w:szCs w:val="30"/>
          <w:lang w:bidi="zh-CN"/>
        </w:rPr>
        <w:t>；未利用地</w:t>
      </w:r>
      <w:r>
        <w:rPr>
          <w:rFonts w:hint="eastAsia" w:ascii="Times New Roman" w:hAnsi="Times New Roman" w:eastAsia="仿宋_GB2312" w:cs="仿宋"/>
          <w:kern w:val="0"/>
          <w:sz w:val="28"/>
          <w:szCs w:val="28"/>
          <w:lang w:bidi="zh-CN"/>
        </w:rPr>
        <w:t>24.3145</w:t>
      </w:r>
      <w:r>
        <w:rPr>
          <w:rFonts w:hint="eastAsia" w:ascii="Times New Roman" w:hAnsi="Times New Roman" w:eastAsia="仿宋_GB2312" w:cs="仿宋"/>
          <w:kern w:val="0"/>
          <w:sz w:val="30"/>
          <w:szCs w:val="30"/>
          <w:lang w:bidi="zh-CN"/>
        </w:rPr>
        <w:t>公顷，占开发片区总面积比例为</w:t>
      </w:r>
      <w:r>
        <w:rPr>
          <w:rFonts w:hint="eastAsia" w:ascii="Times New Roman" w:hAnsi="Times New Roman" w:eastAsia="仿宋_GB2312" w:cs="仿宋"/>
          <w:kern w:val="0"/>
          <w:sz w:val="28"/>
          <w:szCs w:val="28"/>
          <w:lang w:bidi="zh-CN"/>
        </w:rPr>
        <w:t>6.08%</w:t>
      </w:r>
      <w:r>
        <w:rPr>
          <w:rFonts w:hint="eastAsia" w:ascii="Times New Roman" w:hAnsi="Times New Roman" w:eastAsia="仿宋_GB2312" w:cs="仿宋"/>
          <w:kern w:val="0"/>
          <w:sz w:val="30"/>
          <w:szCs w:val="30"/>
          <w:lang w:bidi="zh-CN"/>
        </w:rPr>
        <w:t>,成片开发片区范围内各类现状用地详细情况如下表2所示：</w:t>
      </w:r>
    </w:p>
    <w:p>
      <w:pPr>
        <w:autoSpaceDE w:val="0"/>
        <w:autoSpaceDN w:val="0"/>
        <w:spacing w:line="360" w:lineRule="auto"/>
        <w:jc w:val="center"/>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表</w:t>
      </w:r>
      <w:r>
        <w:rPr>
          <w:rFonts w:ascii="Times New Roman" w:hAnsi="Times New Roman" w:eastAsia="仿宋_GB2312" w:cs="仿宋"/>
          <w:kern w:val="0"/>
          <w:sz w:val="30"/>
          <w:szCs w:val="30"/>
          <w:lang w:bidi="zh-CN"/>
        </w:rPr>
        <w:t>2</w:t>
      </w:r>
      <w:r>
        <w:rPr>
          <w:rFonts w:hint="eastAsia" w:ascii="Times New Roman" w:hAnsi="Times New Roman" w:eastAsia="仿宋_GB2312" w:cs="仿宋"/>
          <w:kern w:val="0"/>
          <w:sz w:val="30"/>
          <w:szCs w:val="30"/>
          <w:lang w:bidi="zh-CN"/>
        </w:rPr>
        <w:t xml:space="preserve"> 成片开发范围内现状用地情况表</w:t>
      </w:r>
    </w:p>
    <w:p>
      <w:pPr>
        <w:autoSpaceDE w:val="0"/>
        <w:autoSpaceDN w:val="0"/>
        <w:spacing w:line="360" w:lineRule="auto"/>
        <w:jc w:val="right"/>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单位：公顷、%</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752"/>
        <w:gridCol w:w="1511"/>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trPr>
        <w:tc>
          <w:tcPr>
            <w:tcW w:w="4883" w:type="dxa"/>
            <w:gridSpan w:val="2"/>
            <w:vAlign w:val="center"/>
          </w:tcPr>
          <w:p>
            <w:pPr>
              <w:autoSpaceDE w:val="0"/>
              <w:autoSpaceDN w:val="0"/>
              <w:spacing w:line="360" w:lineRule="auto"/>
              <w:jc w:val="center"/>
              <w:rPr>
                <w:rFonts w:ascii="Times New Roman" w:hAnsi="Times New Roman" w:eastAsia="仿宋_GB2312" w:cs="仿宋"/>
                <w:b/>
                <w:bCs/>
                <w:kern w:val="0"/>
                <w:sz w:val="28"/>
                <w:szCs w:val="28"/>
                <w:lang w:bidi="zh-CN"/>
              </w:rPr>
            </w:pPr>
            <w:r>
              <w:rPr>
                <w:rFonts w:hint="eastAsia" w:ascii="Times New Roman" w:hAnsi="Times New Roman" w:eastAsia="仿宋_GB2312" w:cs="仿宋"/>
                <w:b/>
                <w:bCs/>
                <w:kern w:val="0"/>
                <w:sz w:val="28"/>
                <w:szCs w:val="28"/>
                <w:lang w:bidi="zh-CN"/>
              </w:rPr>
              <w:t>用地类型</w:t>
            </w:r>
          </w:p>
        </w:tc>
        <w:tc>
          <w:tcPr>
            <w:tcW w:w="1511" w:type="dxa"/>
            <w:vAlign w:val="center"/>
          </w:tcPr>
          <w:p>
            <w:pPr>
              <w:autoSpaceDE w:val="0"/>
              <w:autoSpaceDN w:val="0"/>
              <w:spacing w:line="360" w:lineRule="auto"/>
              <w:jc w:val="center"/>
              <w:rPr>
                <w:rFonts w:ascii="Times New Roman" w:hAnsi="Times New Roman" w:eastAsia="仿宋_GB2312" w:cs="仿宋"/>
                <w:b/>
                <w:bCs/>
                <w:kern w:val="0"/>
                <w:sz w:val="28"/>
                <w:szCs w:val="28"/>
                <w:lang w:bidi="zh-CN"/>
              </w:rPr>
            </w:pPr>
            <w:r>
              <w:rPr>
                <w:rFonts w:hint="eastAsia" w:ascii="Times New Roman" w:hAnsi="Times New Roman" w:eastAsia="仿宋_GB2312" w:cs="仿宋"/>
                <w:b/>
                <w:bCs/>
                <w:kern w:val="0"/>
                <w:sz w:val="28"/>
                <w:szCs w:val="28"/>
                <w:lang w:bidi="zh-CN"/>
              </w:rPr>
              <w:t>面积</w:t>
            </w:r>
          </w:p>
        </w:tc>
        <w:tc>
          <w:tcPr>
            <w:tcW w:w="2132" w:type="dxa"/>
            <w:vAlign w:val="center"/>
          </w:tcPr>
          <w:p>
            <w:pPr>
              <w:autoSpaceDE w:val="0"/>
              <w:autoSpaceDN w:val="0"/>
              <w:spacing w:line="360" w:lineRule="auto"/>
              <w:jc w:val="center"/>
              <w:rPr>
                <w:rFonts w:ascii="Times New Roman" w:hAnsi="Times New Roman" w:eastAsia="仿宋_GB2312" w:cs="仿宋"/>
                <w:b/>
                <w:bCs/>
                <w:kern w:val="0"/>
                <w:sz w:val="28"/>
                <w:szCs w:val="28"/>
                <w:lang w:bidi="zh-CN"/>
              </w:rPr>
            </w:pPr>
            <w:r>
              <w:rPr>
                <w:rFonts w:hint="eastAsia" w:ascii="Times New Roman" w:hAnsi="Times New Roman" w:eastAsia="仿宋_GB2312" w:cs="仿宋"/>
                <w:b/>
                <w:bCs/>
                <w:kern w:val="0"/>
                <w:sz w:val="28"/>
                <w:szCs w:val="28"/>
                <w:lang w:bidi="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restart"/>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农用地</w:t>
            </w: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耕地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115.2582</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园地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19.9022</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林地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5.8918</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其他农用地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17.3147</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小计</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158.3669</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39.58%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restart"/>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建设用地</w:t>
            </w: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采矿用地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0.7990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城镇村道路用地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28.8191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城镇住宅用地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55.1439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工业用地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49.5221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公路用地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3.9680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公用设施用地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0.6566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公园与绿地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9.8140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轨道交通用地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2.2778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机关团体新闻出版用地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6.5250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交通服务场站用地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8.1953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科教文卫用地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11.3153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农村宅基地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26.7622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商业服务业设施用地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8.8274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特殊用地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1.3662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铁路用地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3.4637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物流仓储用地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 xml:space="preserve">0.0254 </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小计</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217.4810</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restart"/>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未利用地</w:t>
            </w: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河流水面</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20.3152</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其他草地</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3.9993</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Merge w:val="continue"/>
            <w:vAlign w:val="center"/>
          </w:tcPr>
          <w:p>
            <w:pPr>
              <w:autoSpaceDE w:val="0"/>
              <w:autoSpaceDN w:val="0"/>
              <w:spacing w:line="360" w:lineRule="auto"/>
              <w:jc w:val="center"/>
              <w:rPr>
                <w:rFonts w:ascii="Times New Roman" w:hAnsi="Times New Roman" w:eastAsia="仿宋_GB2312" w:cs="仿宋"/>
                <w:kern w:val="0"/>
                <w:sz w:val="28"/>
                <w:szCs w:val="28"/>
                <w:lang w:bidi="zh-CN"/>
              </w:rPr>
            </w:pPr>
          </w:p>
        </w:tc>
        <w:tc>
          <w:tcPr>
            <w:tcW w:w="275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小计</w:t>
            </w:r>
          </w:p>
        </w:tc>
        <w:tc>
          <w:tcPr>
            <w:tcW w:w="1511"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24.3145</w:t>
            </w:r>
          </w:p>
        </w:tc>
        <w:tc>
          <w:tcPr>
            <w:tcW w:w="2132" w:type="dxa"/>
            <w:vAlign w:val="center"/>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6.08%</w:t>
            </w:r>
          </w:p>
        </w:tc>
      </w:tr>
    </w:tbl>
    <w:p>
      <w:pPr>
        <w:pStyle w:val="5"/>
        <w:numPr>
          <w:ilvl w:val="0"/>
          <w:numId w:val="8"/>
        </w:numPr>
        <w:rPr>
          <w:rFonts w:ascii="Times New Roman" w:hAnsi="Times New Roman" w:eastAsia="仿宋_GB2312" w:cs="仿宋_GB2312"/>
          <w:b w:val="0"/>
          <w:kern w:val="0"/>
          <w:sz w:val="30"/>
          <w:szCs w:val="30"/>
          <w:lang w:bidi="zh-CN"/>
        </w:rPr>
      </w:pPr>
      <w:r>
        <w:rPr>
          <w:rFonts w:ascii="Times New Roman" w:hAnsi="Times New Roman" w:eastAsia="仿宋_GB2312" w:cs="仿宋_GB2312"/>
          <w:b w:val="0"/>
          <w:kern w:val="0"/>
          <w:sz w:val="30"/>
          <w:szCs w:val="30"/>
          <w:lang w:bidi="zh-CN"/>
        </w:rPr>
        <w:t>土地权属</w:t>
      </w:r>
    </w:p>
    <w:p>
      <w:pPr>
        <w:autoSpaceDE w:val="0"/>
        <w:autoSpaceDN w:val="0"/>
        <w:spacing w:line="360" w:lineRule="auto"/>
        <w:ind w:firstLine="567" w:firstLineChars="189"/>
        <w:rPr>
          <w:rFonts w:hint="eastAsia"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根据第三次全国国土调查和2018年土地利用变更调查数据，成片开发范围内各类国有土地</w:t>
      </w:r>
      <w:r>
        <w:rPr>
          <w:rFonts w:ascii="Times New Roman" w:hAnsi="Times New Roman" w:eastAsia="仿宋_GB2312" w:cs="仿宋"/>
          <w:kern w:val="0"/>
          <w:sz w:val="30"/>
          <w:szCs w:val="30"/>
          <w:lang w:bidi="zh-CN"/>
        </w:rPr>
        <w:t>18</w:t>
      </w:r>
      <w:r>
        <w:rPr>
          <w:rFonts w:hint="eastAsia" w:ascii="Times New Roman" w:hAnsi="Times New Roman" w:eastAsia="仿宋_GB2312" w:cs="仿宋"/>
          <w:kern w:val="0"/>
          <w:sz w:val="30"/>
          <w:szCs w:val="30"/>
          <w:lang w:bidi="zh-CN"/>
        </w:rPr>
        <w:t>3.2290公顷,占开发片区总面积的45.79%；集体土地216.9335公顷，占开发片区总面积的54.21%。具体情况如下表所示：</w:t>
      </w:r>
    </w:p>
    <w:p>
      <w:pPr>
        <w:autoSpaceDE w:val="0"/>
        <w:autoSpaceDN w:val="0"/>
        <w:spacing w:line="360" w:lineRule="auto"/>
        <w:jc w:val="center"/>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表</w:t>
      </w:r>
      <w:r>
        <w:rPr>
          <w:rFonts w:ascii="Times New Roman" w:hAnsi="Times New Roman" w:eastAsia="仿宋_GB2312" w:cs="仿宋"/>
          <w:kern w:val="0"/>
          <w:sz w:val="30"/>
          <w:szCs w:val="30"/>
          <w:lang w:bidi="zh-CN"/>
        </w:rPr>
        <w:t>3</w:t>
      </w:r>
      <w:r>
        <w:rPr>
          <w:rFonts w:hint="eastAsia" w:ascii="Times New Roman" w:hAnsi="Times New Roman" w:eastAsia="仿宋_GB2312" w:cs="仿宋"/>
          <w:kern w:val="0"/>
          <w:sz w:val="30"/>
          <w:szCs w:val="30"/>
          <w:lang w:bidi="zh-CN"/>
        </w:rPr>
        <w:t xml:space="preserve"> 成片开发用地权属情况统计表</w:t>
      </w:r>
    </w:p>
    <w:p>
      <w:pPr>
        <w:autoSpaceDE w:val="0"/>
        <w:autoSpaceDN w:val="0"/>
        <w:spacing w:line="360" w:lineRule="auto"/>
        <w:jc w:val="right"/>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单位：公顷、%</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2670"/>
        <w:gridCol w:w="3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权属</w:t>
            </w:r>
          </w:p>
        </w:tc>
        <w:tc>
          <w:tcPr>
            <w:tcW w:w="2670"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面积</w:t>
            </w:r>
          </w:p>
        </w:tc>
        <w:tc>
          <w:tcPr>
            <w:tcW w:w="3098"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国有土地</w:t>
            </w:r>
          </w:p>
        </w:tc>
        <w:tc>
          <w:tcPr>
            <w:tcW w:w="2670" w:type="dxa"/>
          </w:tcPr>
          <w:p>
            <w:pPr>
              <w:autoSpaceDE w:val="0"/>
              <w:autoSpaceDN w:val="0"/>
              <w:spacing w:line="360" w:lineRule="auto"/>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30"/>
                <w:szCs w:val="30"/>
                <w:lang w:bidi="zh-CN"/>
              </w:rPr>
              <w:t>18</w:t>
            </w:r>
            <w:r>
              <w:rPr>
                <w:rFonts w:hint="eastAsia" w:ascii="Times New Roman" w:hAnsi="Times New Roman" w:eastAsia="仿宋_GB2312" w:cs="仿宋"/>
                <w:kern w:val="0"/>
                <w:sz w:val="30"/>
                <w:szCs w:val="30"/>
                <w:lang w:bidi="zh-CN"/>
              </w:rPr>
              <w:t>3.2290</w:t>
            </w:r>
          </w:p>
        </w:tc>
        <w:tc>
          <w:tcPr>
            <w:tcW w:w="3098"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30"/>
                <w:szCs w:val="30"/>
                <w:lang w:bidi="zh-CN"/>
              </w:rPr>
              <w:t>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已供应国有土地</w:t>
            </w:r>
          </w:p>
        </w:tc>
        <w:tc>
          <w:tcPr>
            <w:tcW w:w="2670"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55.3491</w:t>
            </w:r>
          </w:p>
        </w:tc>
        <w:tc>
          <w:tcPr>
            <w:tcW w:w="3098"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集体土地</w:t>
            </w:r>
          </w:p>
        </w:tc>
        <w:tc>
          <w:tcPr>
            <w:tcW w:w="2670"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30"/>
                <w:szCs w:val="30"/>
                <w:lang w:bidi="zh-CN"/>
              </w:rPr>
              <w:t>216.9335</w:t>
            </w:r>
          </w:p>
        </w:tc>
        <w:tc>
          <w:tcPr>
            <w:tcW w:w="3098" w:type="dxa"/>
          </w:tcPr>
          <w:p>
            <w:pPr>
              <w:autoSpaceDE w:val="0"/>
              <w:autoSpaceDN w:val="0"/>
              <w:spacing w:line="360" w:lineRule="auto"/>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30"/>
                <w:szCs w:val="30"/>
                <w:lang w:bidi="zh-CN"/>
              </w:rPr>
              <w:t>54.21%</w:t>
            </w:r>
          </w:p>
        </w:tc>
      </w:tr>
    </w:tbl>
    <w:p>
      <w:pPr>
        <w:pStyle w:val="5"/>
        <w:numPr>
          <w:ilvl w:val="0"/>
          <w:numId w:val="8"/>
        </w:numPr>
        <w:rPr>
          <w:rFonts w:ascii="Times New Roman" w:hAnsi="Times New Roman" w:eastAsia="仿宋_GB2312" w:cs="仿宋_GB2312"/>
          <w:b w:val="0"/>
          <w:kern w:val="0"/>
          <w:sz w:val="30"/>
          <w:szCs w:val="30"/>
          <w:lang w:bidi="zh-CN"/>
        </w:rPr>
      </w:pPr>
      <w:r>
        <w:rPr>
          <w:rFonts w:hint="eastAsia" w:ascii="Times New Roman" w:hAnsi="Times New Roman" w:eastAsia="仿宋_GB2312" w:cs="仿宋_GB2312"/>
          <w:b w:val="0"/>
          <w:kern w:val="0"/>
          <w:sz w:val="30"/>
          <w:szCs w:val="30"/>
          <w:lang w:bidi="zh-CN"/>
        </w:rPr>
        <w:t>开发建设状况</w:t>
      </w:r>
    </w:p>
    <w:p>
      <w:pPr>
        <w:autoSpaceDE w:val="0"/>
        <w:autoSpaceDN w:val="0"/>
        <w:spacing w:line="360" w:lineRule="auto"/>
        <w:ind w:firstLine="567" w:firstLineChars="189"/>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本成片开发方案各片区已建、在建和规划建设区总面积400.1625公顷，其中已建成区面积171.7305公顷、在建区面积8.7012公顷，规划建设区面积219.7308公顷。</w:t>
      </w:r>
    </w:p>
    <w:p>
      <w:pPr>
        <w:pStyle w:val="20"/>
        <w:spacing w:line="360" w:lineRule="auto"/>
        <w:ind w:left="0" w:firstLine="60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表4：成片开发范围内实际开发建设状况统计表</w:t>
      </w:r>
    </w:p>
    <w:p>
      <w:pPr>
        <w:pStyle w:val="20"/>
        <w:spacing w:line="360" w:lineRule="auto"/>
        <w:ind w:left="0"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单位：公顷、%</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分类</w:t>
            </w:r>
          </w:p>
        </w:tc>
        <w:tc>
          <w:tcPr>
            <w:tcW w:w="2841"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面积</w:t>
            </w:r>
          </w:p>
        </w:tc>
        <w:tc>
          <w:tcPr>
            <w:tcW w:w="2841"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已建成区</w:t>
            </w:r>
          </w:p>
        </w:tc>
        <w:tc>
          <w:tcPr>
            <w:tcW w:w="2841"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仿宋"/>
                <w:kern w:val="0"/>
                <w:sz w:val="30"/>
                <w:szCs w:val="30"/>
                <w:lang w:bidi="zh-CN"/>
              </w:rPr>
              <w:t>171.7305</w:t>
            </w:r>
          </w:p>
        </w:tc>
        <w:tc>
          <w:tcPr>
            <w:tcW w:w="2841"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42.92%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Style w:val="20"/>
              <w:spacing w:line="360" w:lineRule="auto"/>
              <w:ind w:left="0" w:firstLine="0"/>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在建区</w:t>
            </w:r>
          </w:p>
        </w:tc>
        <w:tc>
          <w:tcPr>
            <w:tcW w:w="2841"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仿宋"/>
                <w:kern w:val="0"/>
                <w:sz w:val="30"/>
                <w:szCs w:val="30"/>
                <w:lang w:bidi="zh-CN"/>
              </w:rPr>
              <w:t>8.7012</w:t>
            </w:r>
          </w:p>
        </w:tc>
        <w:tc>
          <w:tcPr>
            <w:tcW w:w="2841"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规划建设区</w:t>
            </w:r>
          </w:p>
        </w:tc>
        <w:tc>
          <w:tcPr>
            <w:tcW w:w="2841"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仿宋"/>
                <w:kern w:val="0"/>
                <w:sz w:val="30"/>
                <w:szCs w:val="30"/>
                <w:lang w:bidi="zh-CN"/>
              </w:rPr>
              <w:t>219.7308</w:t>
            </w:r>
          </w:p>
        </w:tc>
        <w:tc>
          <w:tcPr>
            <w:tcW w:w="2841"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54.91%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合计</w:t>
            </w:r>
          </w:p>
        </w:tc>
        <w:tc>
          <w:tcPr>
            <w:tcW w:w="2841" w:type="dxa"/>
            <w:vAlign w:val="center"/>
          </w:tcPr>
          <w:p>
            <w:pPr>
              <w:widowControl/>
              <w:jc w:val="center"/>
              <w:rPr>
                <w:rFonts w:ascii="Times New Roman" w:hAnsi="Times New Roman" w:eastAsia="仿宋_GB2312" w:cs="Times New Roman"/>
                <w:sz w:val="28"/>
                <w:szCs w:val="30"/>
              </w:rPr>
            </w:pPr>
            <w:r>
              <w:rPr>
                <w:rFonts w:hint="eastAsia" w:ascii="Times New Roman" w:hAnsi="Times New Roman" w:eastAsia="仿宋_GB2312" w:cs="仿宋"/>
                <w:kern w:val="0"/>
                <w:sz w:val="30"/>
                <w:szCs w:val="30"/>
                <w:lang w:bidi="zh-CN"/>
              </w:rPr>
              <w:t>400.1625</w:t>
            </w:r>
          </w:p>
        </w:tc>
        <w:tc>
          <w:tcPr>
            <w:tcW w:w="2841" w:type="dxa"/>
            <w:vAlign w:val="center"/>
          </w:tcPr>
          <w:p>
            <w:pPr>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100.00</w:t>
            </w:r>
            <w:r>
              <w:rPr>
                <w:rFonts w:hint="eastAsia" w:ascii="Times New Roman" w:hAnsi="Times New Roman" w:eastAsia="仿宋_GB2312" w:cs="Times New Roman"/>
                <w:sz w:val="28"/>
                <w:szCs w:val="30"/>
              </w:rPr>
              <w:t>%</w:t>
            </w:r>
          </w:p>
        </w:tc>
      </w:tr>
    </w:tbl>
    <w:p>
      <w:pPr>
        <w:pStyle w:val="5"/>
        <w:numPr>
          <w:ilvl w:val="0"/>
          <w:numId w:val="8"/>
        </w:numPr>
        <w:rPr>
          <w:rFonts w:ascii="Times New Roman" w:hAnsi="Times New Roman" w:eastAsia="仿宋_GB2312" w:cs="仿宋_GB2312"/>
          <w:b w:val="0"/>
          <w:kern w:val="0"/>
          <w:sz w:val="30"/>
          <w:szCs w:val="30"/>
          <w:lang w:bidi="zh-CN"/>
        </w:rPr>
      </w:pPr>
      <w:r>
        <w:rPr>
          <w:rFonts w:ascii="Times New Roman" w:hAnsi="Times New Roman" w:eastAsia="仿宋_GB2312" w:cs="仿宋_GB2312"/>
          <w:b w:val="0"/>
          <w:kern w:val="0"/>
          <w:sz w:val="30"/>
          <w:szCs w:val="30"/>
          <w:lang w:bidi="zh-CN"/>
        </w:rPr>
        <w:t>拟征收集体土地情况</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《方案》的实施，需要征收农村集体土地199.8711公顷，其中农用地127.5741公顷，建设用地72.1190公顷，未利用地0.1779公顷。</w:t>
      </w:r>
    </w:p>
    <w:p>
      <w:pPr>
        <w:pStyle w:val="5"/>
        <w:numPr>
          <w:ilvl w:val="0"/>
          <w:numId w:val="8"/>
        </w:numPr>
        <w:rPr>
          <w:rFonts w:ascii="Times New Roman" w:hAnsi="Times New Roman" w:eastAsia="仿宋_GB2312" w:cs="仿宋_GB2312"/>
          <w:b w:val="0"/>
          <w:kern w:val="0"/>
          <w:sz w:val="30"/>
          <w:szCs w:val="30"/>
          <w:lang w:bidi="zh-CN"/>
        </w:rPr>
      </w:pPr>
      <w:r>
        <w:rPr>
          <w:rFonts w:ascii="Times New Roman" w:hAnsi="Times New Roman" w:eastAsia="仿宋_GB2312" w:cs="仿宋_GB2312"/>
          <w:b w:val="0"/>
          <w:kern w:val="0"/>
          <w:sz w:val="30"/>
          <w:szCs w:val="30"/>
          <w:lang w:bidi="zh-CN"/>
        </w:rPr>
        <w:t>资金情况</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ascii="Times New Roman" w:hAnsi="Times New Roman" w:eastAsia="仿宋_GB2312" w:cs="仿宋"/>
          <w:kern w:val="0"/>
          <w:sz w:val="30"/>
          <w:szCs w:val="30"/>
          <w:lang w:bidi="zh-CN"/>
        </w:rPr>
        <w:t>土地开发成本一般包括土地费用</w:t>
      </w:r>
      <w:r>
        <w:rPr>
          <w:rFonts w:hint="eastAsia" w:ascii="Times New Roman" w:hAnsi="Times New Roman" w:eastAsia="仿宋_GB2312" w:cs="仿宋"/>
          <w:kern w:val="0"/>
          <w:sz w:val="30"/>
          <w:szCs w:val="30"/>
          <w:lang w:bidi="zh-CN"/>
        </w:rPr>
        <w:t>、前期工程费、城市</w:t>
      </w:r>
      <w:r>
        <w:rPr>
          <w:rFonts w:ascii="Times New Roman" w:hAnsi="Times New Roman" w:eastAsia="仿宋_GB2312" w:cs="仿宋"/>
          <w:kern w:val="0"/>
          <w:sz w:val="30"/>
          <w:szCs w:val="30"/>
          <w:lang w:bidi="zh-CN"/>
        </w:rPr>
        <w:t>基础设施建设费</w:t>
      </w:r>
      <w:r>
        <w:rPr>
          <w:rFonts w:hint="eastAsia" w:ascii="Times New Roman" w:hAnsi="Times New Roman" w:eastAsia="仿宋_GB2312" w:cs="仿宋"/>
          <w:kern w:val="0"/>
          <w:sz w:val="30"/>
          <w:szCs w:val="30"/>
          <w:lang w:bidi="zh-CN"/>
        </w:rPr>
        <w:t>、公服设施建设费、贷款利息、其他</w:t>
      </w:r>
      <w:r>
        <w:rPr>
          <w:rFonts w:ascii="Times New Roman" w:hAnsi="Times New Roman" w:eastAsia="仿宋_GB2312" w:cs="仿宋"/>
          <w:kern w:val="0"/>
          <w:sz w:val="30"/>
          <w:szCs w:val="30"/>
          <w:lang w:bidi="zh-CN"/>
        </w:rPr>
        <w:t>费用等</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至少投入256526万元</w:t>
      </w:r>
      <w:r>
        <w:rPr>
          <w:rFonts w:hint="eastAsia" w:ascii="Times New Roman" w:hAnsi="Times New Roman" w:eastAsia="仿宋_GB2312" w:cs="仿宋"/>
          <w:kern w:val="0"/>
          <w:sz w:val="30"/>
          <w:szCs w:val="30"/>
          <w:lang w:bidi="zh-CN"/>
        </w:rPr>
        <w:t>。</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ascii="Times New Roman" w:hAnsi="Times New Roman" w:eastAsia="仿宋_GB2312" w:cs="仿宋"/>
          <w:kern w:val="0"/>
          <w:sz w:val="30"/>
          <w:szCs w:val="30"/>
          <w:lang w:bidi="zh-CN"/>
        </w:rPr>
        <w:t>其中</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土地费用主要是征地费用</w:t>
      </w:r>
      <w:r>
        <w:rPr>
          <w:rFonts w:hint="eastAsia" w:ascii="Times New Roman" w:hAnsi="Times New Roman" w:eastAsia="仿宋_GB2312" w:cs="仿宋"/>
          <w:kern w:val="0"/>
          <w:sz w:val="30"/>
          <w:szCs w:val="30"/>
          <w:lang w:bidi="zh-CN"/>
        </w:rPr>
        <w:t>；</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ascii="Times New Roman" w:hAnsi="Times New Roman" w:eastAsia="仿宋_GB2312" w:cs="仿宋"/>
          <w:kern w:val="0"/>
          <w:sz w:val="30"/>
          <w:szCs w:val="30"/>
          <w:lang w:bidi="zh-CN"/>
        </w:rPr>
        <w:t>前期工程费主要是地块开发前期规划设计研究</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地质勘察以及通平费用</w:t>
      </w:r>
      <w:r>
        <w:rPr>
          <w:rFonts w:hint="eastAsia" w:ascii="Times New Roman" w:hAnsi="Times New Roman" w:eastAsia="仿宋_GB2312" w:cs="仿宋"/>
          <w:kern w:val="0"/>
          <w:sz w:val="30"/>
          <w:szCs w:val="30"/>
          <w:lang w:bidi="zh-CN"/>
        </w:rPr>
        <w:t>；</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城市基础设施建设费为筹集城市市政公用基础设施建设资金所收取的费用；</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ascii="Times New Roman" w:hAnsi="Times New Roman" w:eastAsia="仿宋_GB2312" w:cs="仿宋"/>
          <w:kern w:val="0"/>
          <w:sz w:val="30"/>
          <w:szCs w:val="30"/>
          <w:lang w:bidi="zh-CN"/>
        </w:rPr>
        <w:t>公服设施建设费为学校</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体育馆等公共管理和公共服务设施建设的投入资金</w:t>
      </w:r>
      <w:r>
        <w:rPr>
          <w:rFonts w:hint="eastAsia" w:ascii="Times New Roman" w:hAnsi="Times New Roman" w:eastAsia="仿宋_GB2312" w:cs="仿宋"/>
          <w:kern w:val="0"/>
          <w:sz w:val="30"/>
          <w:szCs w:val="30"/>
          <w:lang w:bidi="zh-CN"/>
        </w:rPr>
        <w:t>；</w:t>
      </w:r>
    </w:p>
    <w:p>
      <w:pPr>
        <w:pStyle w:val="20"/>
        <w:spacing w:line="360" w:lineRule="auto"/>
        <w:ind w:left="0" w:firstLine="600"/>
        <w:jc w:val="left"/>
        <w:rPr>
          <w:rFonts w:ascii="Times New Roman" w:hAnsi="Times New Roman" w:eastAsia="仿宋_GB2312" w:cs="Times New Roman"/>
          <w:sz w:val="30"/>
          <w:szCs w:val="30"/>
        </w:rPr>
      </w:pPr>
      <w:r>
        <w:rPr>
          <w:rFonts w:ascii="Times New Roman" w:hAnsi="Times New Roman" w:eastAsia="仿宋_GB2312" w:cs="Times New Roman"/>
          <w:sz w:val="30"/>
          <w:szCs w:val="30"/>
        </w:rPr>
        <w:t>贷款利息</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因土地开发周期长</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需要投资数额大</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必须借助银行的信贷资金</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但贷款利息的大小与开发项目大小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融资额度多少密切相关</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占比构成比例相对不稳定</w:t>
      </w:r>
      <w:r>
        <w:rPr>
          <w:rFonts w:hint="eastAsia" w:ascii="Times New Roman" w:hAnsi="Times New Roman" w:eastAsia="仿宋_GB2312" w:cs="Times New Roman"/>
          <w:sz w:val="30"/>
          <w:szCs w:val="30"/>
        </w:rPr>
        <w:t>；</w:t>
      </w:r>
    </w:p>
    <w:p>
      <w:pPr>
        <w:pStyle w:val="20"/>
        <w:spacing w:line="360" w:lineRule="auto"/>
        <w:ind w:left="0" w:firstLine="600"/>
        <w:jc w:val="left"/>
        <w:rPr>
          <w:rFonts w:ascii="Times New Roman" w:hAnsi="Times New Roman" w:eastAsia="仿宋_GB2312" w:cs="Times New Roman"/>
          <w:sz w:val="30"/>
          <w:szCs w:val="30"/>
        </w:rPr>
      </w:pPr>
      <w:r>
        <w:rPr>
          <w:rFonts w:ascii="Times New Roman" w:hAnsi="Times New Roman" w:eastAsia="仿宋_GB2312" w:cs="Times New Roman"/>
          <w:sz w:val="30"/>
          <w:szCs w:val="30"/>
        </w:rPr>
        <w:t>其他费用主要指各种不可预见费</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在成本构成中一般不超过</w:t>
      </w:r>
      <w:r>
        <w:rPr>
          <w:rFonts w:hint="eastAsia" w:ascii="Times New Roman" w:hAnsi="Times New Roman" w:eastAsia="仿宋_GB2312" w:cs="Times New Roman"/>
          <w:sz w:val="30"/>
          <w:szCs w:val="30"/>
        </w:rPr>
        <w:t>1</w:t>
      </w:r>
      <w:r>
        <w:rPr>
          <w:rFonts w:ascii="Times New Roman" w:hAnsi="Times New Roman" w:eastAsia="仿宋_GB2312" w:cs="Times New Roman"/>
          <w:sz w:val="30"/>
          <w:szCs w:val="30"/>
        </w:rPr>
        <w:t>0</w:t>
      </w:r>
      <w:r>
        <w:rPr>
          <w:rFonts w:hint="eastAsia" w:ascii="Times New Roman" w:hAnsi="Times New Roman" w:eastAsia="仿宋_GB2312" w:cs="Times New Roman"/>
          <w:sz w:val="30"/>
          <w:szCs w:val="30"/>
        </w:rPr>
        <w:t>%。</w:t>
      </w:r>
    </w:p>
    <w:p>
      <w:pPr>
        <w:pStyle w:val="20"/>
        <w:spacing w:line="360" w:lineRule="auto"/>
        <w:ind w:left="0" w:firstLine="60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表5：成片开发范围内</w:t>
      </w:r>
      <w:r>
        <w:rPr>
          <w:rFonts w:hint="eastAsia" w:ascii="Times New Roman" w:hAnsi="Times New Roman" w:eastAsia="仿宋_GB2312" w:cs="Times New Roman"/>
          <w:sz w:val="30"/>
          <w:szCs w:val="30"/>
        </w:rPr>
        <w:t>的</w:t>
      </w:r>
      <w:r>
        <w:rPr>
          <w:rFonts w:ascii="Times New Roman" w:hAnsi="Times New Roman" w:eastAsia="仿宋_GB2312" w:cs="Times New Roman"/>
          <w:sz w:val="30"/>
          <w:szCs w:val="30"/>
        </w:rPr>
        <w:t>资金情况统计表</w:t>
      </w:r>
    </w:p>
    <w:p>
      <w:pPr>
        <w:pStyle w:val="20"/>
        <w:spacing w:line="360" w:lineRule="auto"/>
        <w:ind w:left="0"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单位：</w:t>
      </w:r>
      <w:r>
        <w:rPr>
          <w:rFonts w:hint="eastAsia" w:ascii="Times New Roman" w:hAnsi="Times New Roman" w:eastAsia="仿宋_GB2312" w:cs="Times New Roman"/>
          <w:sz w:val="30"/>
          <w:szCs w:val="30"/>
        </w:rPr>
        <w:t>万元</w:t>
      </w:r>
    </w:p>
    <w:tbl>
      <w:tblPr>
        <w:tblStyle w:val="1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823" w:type="dxa"/>
            <w:vAlign w:val="center"/>
          </w:tcPr>
          <w:p>
            <w:pPr>
              <w:pStyle w:val="20"/>
              <w:spacing w:line="360" w:lineRule="auto"/>
              <w:ind w:left="0" w:firstLine="0"/>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土地</w:t>
            </w:r>
            <w:r>
              <w:rPr>
                <w:rFonts w:ascii="Times New Roman" w:hAnsi="Times New Roman" w:eastAsia="仿宋_GB2312" w:cs="Times New Roman"/>
                <w:sz w:val="28"/>
                <w:szCs w:val="30"/>
              </w:rPr>
              <w:t>开发成本</w:t>
            </w:r>
          </w:p>
        </w:tc>
        <w:tc>
          <w:tcPr>
            <w:tcW w:w="4536"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征地费用</w:t>
            </w:r>
          </w:p>
        </w:tc>
        <w:tc>
          <w:tcPr>
            <w:tcW w:w="4536" w:type="dxa"/>
            <w:vAlign w:val="center"/>
          </w:tcPr>
          <w:p>
            <w:pPr>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36742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前期工程费</w:t>
            </w:r>
          </w:p>
        </w:tc>
        <w:tc>
          <w:tcPr>
            <w:tcW w:w="4536" w:type="dxa"/>
            <w:vAlign w:val="center"/>
          </w:tcPr>
          <w:p>
            <w:pPr>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81041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城市基础设施建设费</w:t>
            </w:r>
          </w:p>
        </w:tc>
        <w:tc>
          <w:tcPr>
            <w:tcW w:w="4536" w:type="dxa"/>
            <w:vAlign w:val="center"/>
          </w:tcPr>
          <w:p>
            <w:pPr>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47473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公服设施建设费</w:t>
            </w:r>
          </w:p>
        </w:tc>
        <w:tc>
          <w:tcPr>
            <w:tcW w:w="4536" w:type="dxa"/>
            <w:vAlign w:val="center"/>
          </w:tcPr>
          <w:p>
            <w:pPr>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91270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贷款利息</w:t>
            </w:r>
          </w:p>
        </w:tc>
        <w:tc>
          <w:tcPr>
            <w:tcW w:w="4536" w:type="dxa"/>
            <w:vAlign w:val="center"/>
          </w:tcPr>
          <w:p>
            <w:pPr>
              <w:jc w:val="center"/>
              <w:rPr>
                <w:rFonts w:ascii="Times New Roman" w:hAnsi="Times New Roman" w:eastAsia="仿宋_GB2312" w:cs="Times New Roman"/>
                <w:sz w:val="22"/>
                <w:szCs w:val="30"/>
              </w:rPr>
            </w:pPr>
            <w:r>
              <w:rPr>
                <w:rFonts w:hint="eastAsia" w:ascii="Times New Roman" w:hAnsi="Times New Roman" w:eastAsia="仿宋_GB2312" w:cs="Times New Roman"/>
                <w:sz w:val="22"/>
                <w:szCs w:val="30"/>
              </w:rPr>
              <w:t>与项目大小、融资额度多少密切相关，占成本比例不稳定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其他费用</w:t>
            </w:r>
          </w:p>
        </w:tc>
        <w:tc>
          <w:tcPr>
            <w:tcW w:w="4536" w:type="dxa"/>
            <w:vAlign w:val="center"/>
          </w:tcPr>
          <w:p>
            <w:pPr>
              <w:jc w:val="center"/>
              <w:rPr>
                <w:rFonts w:ascii="Times New Roman" w:hAnsi="Times New Roman" w:eastAsia="仿宋_GB2312" w:cs="Times New Roman"/>
                <w:sz w:val="22"/>
                <w:szCs w:val="30"/>
              </w:rPr>
            </w:pPr>
            <w:r>
              <w:rPr>
                <w:rFonts w:hint="eastAsia" w:ascii="Times New Roman" w:hAnsi="Times New Roman" w:eastAsia="仿宋_GB2312" w:cs="Times New Roman"/>
                <w:sz w:val="22"/>
                <w:szCs w:val="30"/>
              </w:rPr>
              <w:t>占比不超过10%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pPr>
              <w:pStyle w:val="20"/>
              <w:spacing w:line="360" w:lineRule="auto"/>
              <w:ind w:left="0" w:firstLine="0"/>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合计</w:t>
            </w:r>
          </w:p>
        </w:tc>
        <w:tc>
          <w:tcPr>
            <w:tcW w:w="4536" w:type="dxa"/>
            <w:vAlign w:val="center"/>
          </w:tcPr>
          <w:p>
            <w:pPr>
              <w:jc w:val="center"/>
              <w:rPr>
                <w:rFonts w:ascii="Times New Roman" w:hAnsi="Times New Roman" w:eastAsia="仿宋_GB2312" w:cs="Times New Roman"/>
                <w:sz w:val="28"/>
                <w:szCs w:val="30"/>
              </w:rPr>
            </w:pPr>
            <w:r>
              <w:rPr>
                <w:rFonts w:ascii="Times New Roman" w:hAnsi="Times New Roman" w:eastAsia="仿宋_GB2312" w:cs="Times New Roman"/>
                <w:sz w:val="28"/>
                <w:szCs w:val="30"/>
              </w:rPr>
              <w:t>256526</w:t>
            </w:r>
          </w:p>
        </w:tc>
      </w:tr>
    </w:tbl>
    <w:p>
      <w:pPr>
        <w:pStyle w:val="3"/>
        <w:numPr>
          <w:ilvl w:val="0"/>
          <w:numId w:val="7"/>
        </w:numPr>
        <w:rPr>
          <w:rFonts w:ascii="仿宋_GB2312" w:hAnsi="仿宋_GB2312" w:eastAsia="仿宋_GB2312" w:cs="仿宋_GB2312"/>
          <w:kern w:val="0"/>
          <w:szCs w:val="22"/>
          <w:lang w:bidi="zh-CN"/>
        </w:rPr>
      </w:pPr>
      <w:bookmarkStart w:id="9" w:name="_Toc86252593"/>
      <w:r>
        <w:rPr>
          <w:rFonts w:hint="eastAsia" w:ascii="仿宋_GB2312" w:hAnsi="仿宋_GB2312" w:eastAsia="仿宋_GB2312" w:cs="仿宋_GB2312"/>
          <w:kern w:val="0"/>
          <w:szCs w:val="22"/>
          <w:lang w:bidi="zh-CN"/>
        </w:rPr>
        <w:t>“三线”管控要求符合情况</w:t>
      </w:r>
      <w:bookmarkEnd w:id="9"/>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为确保《方案》实施过程中与相关规划的协调，方案编制工作组在方案编制工作中多次与鄞州区国土空间总体规划工作组进行了沟通和衔接，确保了本《方案》确定的成片开发范围完全位于鄞州区国土空间总体规划确定的开发边界内的集中建设区内。此外，根据鄞州区永久基本农田保护和生态保护红线控制要求，本《方案》划定的成片开发范围，未占用永久基本农田和生态保护红线。</w:t>
      </w:r>
    </w:p>
    <w:p>
      <w:pPr>
        <w:pStyle w:val="3"/>
        <w:numPr>
          <w:ilvl w:val="0"/>
          <w:numId w:val="7"/>
        </w:numPr>
        <w:rPr>
          <w:rFonts w:ascii="仿宋_GB2312" w:hAnsi="仿宋_GB2312" w:eastAsia="仿宋_GB2312" w:cs="仿宋_GB2312"/>
          <w:kern w:val="0"/>
          <w:szCs w:val="22"/>
          <w:lang w:bidi="zh-CN"/>
        </w:rPr>
      </w:pPr>
      <w:bookmarkStart w:id="10" w:name="_Toc86252594"/>
      <w:r>
        <w:rPr>
          <w:rFonts w:hint="eastAsia" w:ascii="仿宋_GB2312" w:hAnsi="仿宋_GB2312" w:eastAsia="仿宋_GB2312" w:cs="仿宋_GB2312"/>
          <w:kern w:val="0"/>
          <w:szCs w:val="22"/>
          <w:lang w:bidi="zh-CN"/>
        </w:rPr>
        <w:t>效益评估</w:t>
      </w:r>
      <w:bookmarkEnd w:id="10"/>
    </w:p>
    <w:p>
      <w:pPr>
        <w:pStyle w:val="5"/>
        <w:numPr>
          <w:ilvl w:val="0"/>
          <w:numId w:val="9"/>
        </w:numPr>
        <w:rPr>
          <w:rFonts w:ascii="Times New Roman" w:hAnsi="Times New Roman" w:eastAsia="仿宋_GB2312" w:cs="仿宋_GB2312"/>
          <w:b w:val="0"/>
          <w:kern w:val="0"/>
          <w:sz w:val="30"/>
          <w:szCs w:val="30"/>
          <w:lang w:val="zh-CN" w:bidi="zh-CN"/>
        </w:rPr>
      </w:pPr>
      <w:r>
        <w:rPr>
          <w:rFonts w:hint="eastAsia" w:ascii="Times New Roman" w:hAnsi="Times New Roman" w:eastAsia="仿宋_GB2312" w:cs="仿宋_GB2312"/>
          <w:b w:val="0"/>
          <w:kern w:val="0"/>
          <w:sz w:val="30"/>
          <w:szCs w:val="30"/>
          <w:lang w:val="zh-CN" w:bidi="zh-CN"/>
        </w:rPr>
        <w:t>经济效益</w:t>
      </w:r>
    </w:p>
    <w:p>
      <w:pPr>
        <w:autoSpaceDE w:val="0"/>
        <w:autoSpaceDN w:val="0"/>
        <w:spacing w:line="360" w:lineRule="auto"/>
        <w:ind w:firstLine="600" w:firstLineChars="200"/>
        <w:rPr>
          <w:rFonts w:ascii="Times New Roman" w:hAnsi="Times New Roman" w:eastAsia="仿宋_GB2312" w:cs="仿宋_GB2312"/>
          <w:kern w:val="0"/>
          <w:sz w:val="30"/>
          <w:lang w:val="zh-CN" w:bidi="zh-CN"/>
        </w:rPr>
      </w:pPr>
      <w:r>
        <w:rPr>
          <w:rFonts w:hint="eastAsia" w:ascii="Times New Roman" w:hAnsi="Times New Roman" w:eastAsia="仿宋_GB2312" w:cs="仿宋"/>
          <w:kern w:val="0"/>
          <w:sz w:val="30"/>
          <w:szCs w:val="30"/>
          <w:lang w:bidi="zh-CN"/>
        </w:rPr>
        <w:t>本《方案》</w:t>
      </w:r>
      <w:r>
        <w:rPr>
          <w:rFonts w:hint="eastAsia" w:ascii="Times New Roman" w:hAnsi="Times New Roman" w:eastAsia="仿宋_GB2312" w:cs="仿宋_GB2312"/>
          <w:kern w:val="0"/>
          <w:sz w:val="30"/>
          <w:lang w:val="zh-CN" w:bidi="zh-CN"/>
        </w:rPr>
        <w:t>的实施，有利于推动鄞州区的产业创新，助力产业转型升级；有利于提升鄞州区居住环境品质、完善设施配套，带动人气提升。</w:t>
      </w:r>
    </w:p>
    <w:p>
      <w:pPr>
        <w:autoSpaceDE w:val="0"/>
        <w:autoSpaceDN w:val="0"/>
        <w:spacing w:line="360" w:lineRule="auto"/>
        <w:ind w:firstLine="600" w:firstLineChars="200"/>
        <w:rPr>
          <w:rFonts w:ascii="Times New Roman" w:hAnsi="Times New Roman" w:eastAsia="仿宋_GB2312" w:cs="仿宋_GB2312"/>
          <w:kern w:val="0"/>
          <w:sz w:val="30"/>
          <w:lang w:val="zh-CN" w:bidi="zh-CN"/>
        </w:rPr>
      </w:pPr>
      <w:r>
        <w:rPr>
          <w:rFonts w:hint="eastAsia" w:ascii="Times New Roman" w:hAnsi="Times New Roman" w:eastAsia="仿宋_GB2312" w:cs="仿宋"/>
          <w:kern w:val="0"/>
          <w:sz w:val="30"/>
          <w:szCs w:val="30"/>
          <w:lang w:bidi="zh-CN"/>
        </w:rPr>
        <w:t>本《方案》确定的成片开发范围内</w:t>
      </w:r>
      <w:r>
        <w:rPr>
          <w:rFonts w:hint="eastAsia" w:ascii="Times New Roman" w:hAnsi="Times New Roman" w:eastAsia="仿宋_GB2312" w:cs="仿宋_GB2312"/>
          <w:kern w:val="0"/>
          <w:sz w:val="30"/>
          <w:lang w:val="zh-CN" w:bidi="zh-CN"/>
        </w:rPr>
        <w:t>拟用于居住、商业、工业的各类经营性用地，土地出让后收入约</w:t>
      </w:r>
      <w:r>
        <w:rPr>
          <w:rFonts w:ascii="Times New Roman" w:hAnsi="Times New Roman" w:eastAsia="仿宋_GB2312" w:cs="仿宋_GB2312"/>
          <w:kern w:val="0"/>
          <w:sz w:val="30"/>
          <w:lang w:val="zh-CN" w:bidi="zh-CN"/>
        </w:rPr>
        <w:t>282786.87</w:t>
      </w:r>
      <w:r>
        <w:rPr>
          <w:rFonts w:hint="eastAsia" w:ascii="Times New Roman" w:hAnsi="Times New Roman" w:eastAsia="仿宋_GB2312" w:cs="仿宋_GB2312"/>
          <w:kern w:val="0"/>
          <w:sz w:val="30"/>
          <w:lang w:val="zh-CN" w:bidi="zh-CN"/>
        </w:rPr>
        <w:t>万元，为道路、公服公用等配套设施的建设提供稳定的资金来源与支持，为鄞州区经济的可持续、高质量发展和防范金融风险的能力提供坚实的后盾。</w:t>
      </w:r>
    </w:p>
    <w:p>
      <w:pPr>
        <w:pStyle w:val="20"/>
        <w:spacing w:line="360" w:lineRule="auto"/>
        <w:ind w:left="0" w:firstLine="60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表6：成片开发范围内</w:t>
      </w:r>
      <w:r>
        <w:rPr>
          <w:rFonts w:hint="eastAsia" w:ascii="Times New Roman" w:hAnsi="Times New Roman" w:eastAsia="仿宋_GB2312" w:cs="Times New Roman"/>
          <w:sz w:val="30"/>
          <w:szCs w:val="30"/>
        </w:rPr>
        <w:t>的土地出让</w:t>
      </w:r>
      <w:r>
        <w:rPr>
          <w:rFonts w:ascii="Times New Roman" w:hAnsi="Times New Roman" w:eastAsia="仿宋_GB2312" w:cs="Times New Roman"/>
          <w:sz w:val="30"/>
          <w:szCs w:val="30"/>
        </w:rPr>
        <w:t>收入统计表</w:t>
      </w:r>
    </w:p>
    <w:p>
      <w:pPr>
        <w:pStyle w:val="20"/>
        <w:spacing w:line="360" w:lineRule="auto"/>
        <w:ind w:left="0"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单位：</w:t>
      </w:r>
      <w:r>
        <w:rPr>
          <w:rFonts w:hint="eastAsia" w:ascii="Times New Roman" w:hAnsi="Times New Roman" w:eastAsia="仿宋_GB2312" w:cs="Times New Roman"/>
          <w:sz w:val="30"/>
          <w:szCs w:val="30"/>
        </w:rPr>
        <w:t>万元</w:t>
      </w:r>
    </w:p>
    <w:tbl>
      <w:tblPr>
        <w:tblStyle w:val="15"/>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3869"/>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blHeader/>
          <w:jc w:val="center"/>
        </w:trPr>
        <w:tc>
          <w:tcPr>
            <w:tcW w:w="2122"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开发片区编号</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开发片区名称</w:t>
            </w:r>
          </w:p>
        </w:tc>
        <w:tc>
          <w:tcPr>
            <w:tcW w:w="2127" w:type="dxa"/>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CP330212-2021-</w:t>
            </w:r>
            <w:r>
              <w:rPr>
                <w:rFonts w:ascii="Times New Roman" w:hAnsi="Times New Roman" w:eastAsia="仿宋_GB2312" w:cs="仿宋"/>
                <w:kern w:val="0"/>
                <w:sz w:val="28"/>
                <w:szCs w:val="28"/>
                <w:lang w:bidi="zh-CN"/>
              </w:rPr>
              <w:t>11</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鄞州下应洋江水岸北侧片区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2</w:t>
            </w:r>
            <w:r>
              <w:rPr>
                <w:rFonts w:ascii="Times New Roman" w:hAnsi="Times New Roman" w:eastAsia="仿宋_GB2312" w:cs="Times New Roman"/>
                <w:sz w:val="28"/>
                <w:szCs w:val="30"/>
              </w:rPr>
              <w:t>56471.60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CP330212-2021-12</w:t>
            </w:r>
          </w:p>
        </w:tc>
        <w:tc>
          <w:tcPr>
            <w:tcW w:w="4110" w:type="dxa"/>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鄞州中医院西侧片区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2</w:t>
            </w:r>
            <w:r>
              <w:rPr>
                <w:rFonts w:ascii="Times New Roman" w:hAnsi="Times New Roman" w:eastAsia="仿宋_GB2312" w:cs="Times New Roman"/>
                <w:sz w:val="28"/>
                <w:szCs w:val="30"/>
              </w:rPr>
              <w:t>43364.88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CP330212-2021-15</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轨道交通3号线姜山站北片区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1</w:t>
            </w:r>
            <w:r>
              <w:rPr>
                <w:rFonts w:ascii="Times New Roman" w:hAnsi="Times New Roman" w:eastAsia="仿宋_GB2312" w:cs="Times New Roman"/>
                <w:sz w:val="28"/>
                <w:szCs w:val="30"/>
              </w:rPr>
              <w:t>54504.58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CP330212-2021-16</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姜山镇狮山公园西南片区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4</w:t>
            </w:r>
            <w:r>
              <w:rPr>
                <w:rFonts w:ascii="Times New Roman" w:hAnsi="Times New Roman" w:eastAsia="仿宋_GB2312" w:cs="Times New Roman"/>
                <w:sz w:val="28"/>
                <w:szCs w:val="30"/>
              </w:rPr>
              <w:t>26910.45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CP330212-2021-17</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姜山未来社区片区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3</w:t>
            </w:r>
            <w:r>
              <w:rPr>
                <w:rFonts w:ascii="Times New Roman" w:hAnsi="Times New Roman" w:eastAsia="仿宋_GB2312" w:cs="Times New Roman"/>
                <w:sz w:val="28"/>
                <w:szCs w:val="30"/>
              </w:rPr>
              <w:t>01830.05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CP330212-2021-18</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姜山朝阳1号工业片区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2</w:t>
            </w:r>
            <w:r>
              <w:rPr>
                <w:rFonts w:ascii="Times New Roman" w:hAnsi="Times New Roman" w:eastAsia="仿宋_GB2312" w:cs="Times New Roman"/>
                <w:sz w:val="28"/>
                <w:szCs w:val="30"/>
              </w:rPr>
              <w:t>2718.00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CP330212-2021-19</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云龙镇核心片区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5</w:t>
            </w:r>
            <w:r>
              <w:rPr>
                <w:rFonts w:ascii="Times New Roman" w:hAnsi="Times New Roman" w:eastAsia="仿宋_GB2312" w:cs="Times New Roman"/>
                <w:sz w:val="28"/>
                <w:szCs w:val="30"/>
              </w:rPr>
              <w:t>6414.92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CP330212-2021-21</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横溪片区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3</w:t>
            </w:r>
            <w:r>
              <w:rPr>
                <w:rFonts w:ascii="Times New Roman" w:hAnsi="Times New Roman" w:eastAsia="仿宋_GB2312" w:cs="Times New Roman"/>
                <w:sz w:val="28"/>
                <w:szCs w:val="30"/>
              </w:rPr>
              <w:t>02635.80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CP330212-2021-22</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龙汇未来社区片区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3</w:t>
            </w:r>
            <w:r>
              <w:rPr>
                <w:rFonts w:ascii="Times New Roman" w:hAnsi="Times New Roman" w:eastAsia="仿宋_GB2312" w:cs="Times New Roman"/>
                <w:sz w:val="28"/>
                <w:szCs w:val="30"/>
              </w:rPr>
              <w:t>80929.80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CP330212-2021-23</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李家洋</w:t>
            </w:r>
            <w:r>
              <w:rPr>
                <w:rFonts w:hint="eastAsia" w:ascii="Times New Roman" w:hAnsi="Times New Roman" w:eastAsia="仿宋_GB2312" w:cs="仿宋"/>
                <w:kern w:val="0"/>
                <w:sz w:val="28"/>
                <w:szCs w:val="28"/>
                <w:lang w:bidi="zh-CN"/>
              </w:rPr>
              <w:t>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5</w:t>
            </w:r>
            <w:r>
              <w:rPr>
                <w:rFonts w:ascii="Times New Roman" w:hAnsi="Times New Roman" w:eastAsia="仿宋_GB2312" w:cs="Times New Roman"/>
                <w:sz w:val="28"/>
                <w:szCs w:val="30"/>
              </w:rPr>
              <w:t>39117.50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CP330212-2021-26</w:t>
            </w:r>
          </w:p>
        </w:tc>
        <w:tc>
          <w:tcPr>
            <w:tcW w:w="4110"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东吴镇DW01-02-11a片区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2</w:t>
            </w:r>
            <w:r>
              <w:rPr>
                <w:rFonts w:ascii="Times New Roman" w:hAnsi="Times New Roman" w:eastAsia="仿宋_GB2312" w:cs="Times New Roman"/>
                <w:sz w:val="28"/>
                <w:szCs w:val="30"/>
              </w:rPr>
              <w:t>044.69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CP330212-2021-28</w:t>
            </w:r>
          </w:p>
        </w:tc>
        <w:tc>
          <w:tcPr>
            <w:tcW w:w="4110" w:type="dxa"/>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鄞州区JK01-03-b4、c2片区</w:t>
            </w:r>
          </w:p>
        </w:tc>
        <w:tc>
          <w:tcPr>
            <w:tcW w:w="2127" w:type="dxa"/>
            <w:vAlign w:val="center"/>
          </w:tcPr>
          <w:p>
            <w:pPr>
              <w:jc w:val="center"/>
              <w:rPr>
                <w:rFonts w:ascii="Times New Roman" w:hAnsi="Times New Roman" w:eastAsia="仿宋_GB2312" w:cs="Times New Roman"/>
                <w:sz w:val="28"/>
                <w:szCs w:val="30"/>
              </w:rPr>
            </w:pPr>
            <w:r>
              <w:rPr>
                <w:rFonts w:hint="eastAsia" w:ascii="Times New Roman" w:hAnsi="Times New Roman" w:eastAsia="仿宋_GB2312" w:cs="Times New Roman"/>
                <w:sz w:val="28"/>
                <w:szCs w:val="30"/>
              </w:rPr>
              <w:t>1</w:t>
            </w:r>
            <w:r>
              <w:rPr>
                <w:rFonts w:ascii="Times New Roman" w:hAnsi="Times New Roman" w:eastAsia="仿宋_GB2312" w:cs="Times New Roman"/>
                <w:sz w:val="28"/>
                <w:szCs w:val="30"/>
              </w:rPr>
              <w:t>40921.60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232" w:type="dxa"/>
            <w:gridSpan w:val="2"/>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合计</w:t>
            </w:r>
          </w:p>
        </w:tc>
        <w:tc>
          <w:tcPr>
            <w:tcW w:w="2127" w:type="dxa"/>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w:t>
            </w:r>
            <w:r>
              <w:rPr>
                <w:rFonts w:ascii="Times New Roman" w:hAnsi="Times New Roman" w:eastAsia="仿宋_GB2312" w:cs="仿宋"/>
                <w:kern w:val="0"/>
                <w:sz w:val="28"/>
                <w:szCs w:val="28"/>
                <w:lang w:bidi="zh-CN"/>
              </w:rPr>
              <w:t>827863.87</w:t>
            </w:r>
          </w:p>
        </w:tc>
      </w:tr>
    </w:tbl>
    <w:p>
      <w:pPr>
        <w:pStyle w:val="5"/>
        <w:numPr>
          <w:ilvl w:val="0"/>
          <w:numId w:val="9"/>
        </w:numPr>
        <w:rPr>
          <w:rFonts w:ascii="Times New Roman" w:hAnsi="Times New Roman" w:eastAsia="仿宋_GB2312" w:cs="仿宋_GB2312"/>
          <w:b w:val="0"/>
          <w:kern w:val="0"/>
          <w:sz w:val="30"/>
          <w:szCs w:val="30"/>
          <w:lang w:val="zh-CN" w:bidi="zh-CN"/>
        </w:rPr>
      </w:pPr>
      <w:r>
        <w:rPr>
          <w:rFonts w:hint="eastAsia" w:ascii="Times New Roman" w:hAnsi="Times New Roman" w:eastAsia="仿宋_GB2312" w:cs="仿宋_GB2312"/>
          <w:b w:val="0"/>
          <w:kern w:val="0"/>
          <w:sz w:val="30"/>
          <w:szCs w:val="30"/>
          <w:lang w:val="zh-CN" w:bidi="zh-CN"/>
        </w:rPr>
        <w:t>社会效益</w:t>
      </w:r>
    </w:p>
    <w:p>
      <w:pPr>
        <w:autoSpaceDE w:val="0"/>
        <w:autoSpaceDN w:val="0"/>
        <w:spacing w:line="360" w:lineRule="auto"/>
        <w:ind w:firstLine="600" w:firstLineChars="200"/>
        <w:rPr>
          <w:rFonts w:ascii="Times New Roman" w:hAnsi="Times New Roman" w:eastAsia="仿宋_GB2312" w:cs="仿宋_GB2312"/>
          <w:kern w:val="0"/>
          <w:sz w:val="30"/>
          <w:lang w:val="zh-CN" w:bidi="zh-CN"/>
        </w:rPr>
      </w:pPr>
      <w:r>
        <w:rPr>
          <w:rFonts w:hint="eastAsia" w:ascii="Times New Roman" w:hAnsi="Times New Roman" w:eastAsia="仿宋_GB2312" w:cs="仿宋"/>
          <w:kern w:val="0"/>
          <w:sz w:val="30"/>
          <w:szCs w:val="30"/>
          <w:lang w:bidi="zh-CN"/>
        </w:rPr>
        <w:t>本《方案》</w:t>
      </w:r>
      <w:r>
        <w:rPr>
          <w:rFonts w:hint="eastAsia" w:ascii="Times New Roman" w:hAnsi="Times New Roman" w:eastAsia="仿宋_GB2312" w:cs="仿宋_GB2312"/>
          <w:kern w:val="0"/>
          <w:sz w:val="30"/>
          <w:lang w:val="zh-CN" w:bidi="zh-CN"/>
        </w:rPr>
        <w:t>的实施会对社会、经济、环境等各方面产生较大影响，对土地利用、环境改善、增加就业等方面有巨大的促进作用。通过</w:t>
      </w:r>
      <w:r>
        <w:rPr>
          <w:rFonts w:hint="eastAsia" w:ascii="Times New Roman" w:hAnsi="Times New Roman" w:eastAsia="仿宋_GB2312" w:cs="仿宋"/>
          <w:kern w:val="0"/>
          <w:sz w:val="30"/>
          <w:szCs w:val="30"/>
          <w:lang w:bidi="zh-CN"/>
        </w:rPr>
        <w:t>本《方案》</w:t>
      </w:r>
      <w:r>
        <w:rPr>
          <w:rFonts w:hint="eastAsia" w:ascii="Times New Roman" w:hAnsi="Times New Roman" w:eastAsia="仿宋_GB2312" w:cs="仿宋_GB2312"/>
          <w:kern w:val="0"/>
          <w:sz w:val="30"/>
          <w:lang w:val="zh-CN" w:bidi="zh-CN"/>
        </w:rPr>
        <w:t>的实施，能真正实现统一的规划、配套、开发、建设、管理，激活土地利用价值，提升土地资源配置效率。</w:t>
      </w:r>
      <w:r>
        <w:rPr>
          <w:rFonts w:hint="eastAsia" w:ascii="Times New Roman" w:hAnsi="Times New Roman" w:eastAsia="仿宋_GB2312" w:cs="仿宋"/>
          <w:kern w:val="0"/>
          <w:sz w:val="30"/>
          <w:szCs w:val="30"/>
          <w:lang w:bidi="zh-CN"/>
        </w:rPr>
        <w:t>本《方案》</w:t>
      </w:r>
      <w:r>
        <w:rPr>
          <w:rFonts w:hint="eastAsia" w:ascii="Times New Roman" w:hAnsi="Times New Roman" w:eastAsia="仿宋_GB2312" w:cs="仿宋_GB2312"/>
          <w:kern w:val="0"/>
          <w:sz w:val="30"/>
          <w:lang w:val="zh-CN" w:bidi="zh-CN"/>
        </w:rPr>
        <w:t>成片开发片区范围内公益性用地比例达到</w:t>
      </w:r>
      <w:r>
        <w:rPr>
          <w:rFonts w:hint="eastAsia" w:ascii="Times New Roman" w:hAnsi="Times New Roman" w:eastAsia="仿宋_GB2312" w:cs="仿宋_GB2312"/>
          <w:kern w:val="0"/>
          <w:sz w:val="30"/>
          <w:lang w:bidi="zh-CN"/>
        </w:rPr>
        <w:t>41.35</w:t>
      </w:r>
      <w:r>
        <w:rPr>
          <w:rFonts w:hint="eastAsia" w:ascii="Times New Roman" w:hAnsi="Times New Roman" w:eastAsia="仿宋_GB2312" w:cs="仿宋_GB2312"/>
          <w:kern w:val="0"/>
          <w:sz w:val="30"/>
          <w:lang w:val="zh-CN" w:bidi="zh-CN"/>
        </w:rPr>
        <w:t>%，在一定程度上保障了开发片区范围内居民对于生活的便利性和舒适性要求，有利于塑造良好的生活空间并提升居民生活的幸福感。</w:t>
      </w:r>
    </w:p>
    <w:p>
      <w:pPr>
        <w:pStyle w:val="20"/>
        <w:spacing w:line="360" w:lineRule="auto"/>
        <w:ind w:left="0" w:firstLine="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表7：成片开发范围</w:t>
      </w:r>
      <w:r>
        <w:rPr>
          <w:rFonts w:hint="eastAsia" w:ascii="Times New Roman" w:hAnsi="Times New Roman" w:eastAsia="仿宋_GB2312" w:cs="Times New Roman"/>
          <w:sz w:val="30"/>
          <w:szCs w:val="30"/>
        </w:rPr>
        <w:t>内</w:t>
      </w:r>
      <w:r>
        <w:rPr>
          <w:rFonts w:ascii="Times New Roman" w:hAnsi="Times New Roman" w:eastAsia="仿宋_GB2312" w:cs="Times New Roman"/>
          <w:sz w:val="30"/>
          <w:szCs w:val="30"/>
        </w:rPr>
        <w:t>公益性用地情况表</w:t>
      </w:r>
    </w:p>
    <w:p>
      <w:pPr>
        <w:pStyle w:val="20"/>
        <w:spacing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单位：公顷</w:t>
      </w:r>
      <w:r>
        <w:rPr>
          <w:rFonts w:hint="eastAsia" w:ascii="Times New Roman" w:hAnsi="Times New Roman" w:eastAsia="仿宋_GB2312" w:cs="Times New Roman"/>
          <w:sz w:val="30"/>
          <w:szCs w:val="30"/>
        </w:rPr>
        <w:t>、%</w:t>
      </w:r>
    </w:p>
    <w:tbl>
      <w:tblPr>
        <w:tblStyle w:val="14"/>
        <w:tblW w:w="8500" w:type="dxa"/>
        <w:tblInd w:w="0" w:type="dxa"/>
        <w:tblLayout w:type="autofit"/>
        <w:tblCellMar>
          <w:top w:w="0" w:type="dxa"/>
          <w:left w:w="108" w:type="dxa"/>
          <w:bottom w:w="0" w:type="dxa"/>
          <w:right w:w="108" w:type="dxa"/>
        </w:tblCellMar>
      </w:tblPr>
      <w:tblGrid>
        <w:gridCol w:w="2425"/>
        <w:gridCol w:w="2463"/>
        <w:gridCol w:w="1266"/>
        <w:gridCol w:w="1266"/>
        <w:gridCol w:w="1080"/>
      </w:tblGrid>
      <w:tr>
        <w:tblPrEx>
          <w:tblCellMar>
            <w:top w:w="0" w:type="dxa"/>
            <w:left w:w="108" w:type="dxa"/>
            <w:bottom w:w="0" w:type="dxa"/>
            <w:right w:w="108" w:type="dxa"/>
          </w:tblCellMar>
        </w:tblPrEx>
        <w:trPr>
          <w:trHeight w:val="306" w:hRule="atLeast"/>
        </w:trPr>
        <w:tc>
          <w:tcPr>
            <w:tcW w:w="2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开发片区编号</w:t>
            </w:r>
          </w:p>
        </w:tc>
        <w:tc>
          <w:tcPr>
            <w:tcW w:w="2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开发片区名称</w:t>
            </w:r>
          </w:p>
        </w:tc>
        <w:tc>
          <w:tcPr>
            <w:tcW w:w="12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面积</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公益性用地</w:t>
            </w:r>
          </w:p>
        </w:tc>
        <w:tc>
          <w:tcPr>
            <w:tcW w:w="1078" w:type="dxa"/>
            <w:tcBorders>
              <w:top w:val="single" w:color="auto" w:sz="4" w:space="0"/>
              <w:left w:val="single" w:color="auto" w:sz="4" w:space="0"/>
              <w:bottom w:val="single" w:color="auto" w:sz="4" w:space="0"/>
              <w:right w:val="single" w:color="000000"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占比</w:t>
            </w:r>
          </w:p>
        </w:tc>
      </w:tr>
      <w:tr>
        <w:tblPrEx>
          <w:tblCellMar>
            <w:top w:w="0" w:type="dxa"/>
            <w:left w:w="108" w:type="dxa"/>
            <w:bottom w:w="0" w:type="dxa"/>
            <w:right w:w="108" w:type="dxa"/>
          </w:tblCellMar>
        </w:tblPrEx>
        <w:trPr>
          <w:trHeight w:val="131" w:hRule="atLeast"/>
        </w:trPr>
        <w:tc>
          <w:tcPr>
            <w:tcW w:w="24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CP330212-2021-</w:t>
            </w:r>
            <w:r>
              <w:rPr>
                <w:rFonts w:ascii="Times New Roman" w:hAnsi="Times New Roman" w:eastAsia="仿宋_GB2312" w:cs="仿宋"/>
                <w:kern w:val="0"/>
                <w:sz w:val="28"/>
                <w:szCs w:val="28"/>
                <w:lang w:bidi="zh-CN"/>
              </w:rPr>
              <w:t>11</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鄞州下应洋江水岸北侧片区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10.041</w:t>
            </w:r>
            <w:r>
              <w:rPr>
                <w:rFonts w:hint="eastAsia" w:ascii="Times New Roman" w:hAnsi="Times New Roman" w:eastAsia="仿宋_GB2312" w:cs="仿宋"/>
                <w:kern w:val="0"/>
                <w:sz w:val="28"/>
                <w:szCs w:val="28"/>
                <w:lang w:bidi="zh-CN"/>
              </w:rPr>
              <w:t>7</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4.0533</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43.34%</w:t>
            </w:r>
          </w:p>
        </w:tc>
      </w:tr>
      <w:tr>
        <w:tblPrEx>
          <w:tblCellMar>
            <w:top w:w="0" w:type="dxa"/>
            <w:left w:w="108" w:type="dxa"/>
            <w:bottom w:w="0" w:type="dxa"/>
            <w:right w:w="108" w:type="dxa"/>
          </w:tblCellMar>
        </w:tblPrEx>
        <w:trPr>
          <w:trHeight w:val="27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CP330212-2021-12</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鄞州中医院西侧片区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8.3946</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3.3678</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40.11%</w:t>
            </w:r>
          </w:p>
        </w:tc>
      </w:tr>
      <w:tr>
        <w:tblPrEx>
          <w:tblCellMar>
            <w:top w:w="0" w:type="dxa"/>
            <w:left w:w="108" w:type="dxa"/>
            <w:bottom w:w="0" w:type="dxa"/>
            <w:right w:w="108" w:type="dxa"/>
          </w:tblCellMar>
        </w:tblPrEx>
        <w:trPr>
          <w:trHeight w:val="27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CP330212-2021-15</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轨道交通3号线姜山站北片区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27.4600</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10.9946</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40.04%</w:t>
            </w:r>
          </w:p>
        </w:tc>
      </w:tr>
      <w:tr>
        <w:tblPrEx>
          <w:tblCellMar>
            <w:top w:w="0" w:type="dxa"/>
            <w:left w:w="108" w:type="dxa"/>
            <w:bottom w:w="0" w:type="dxa"/>
            <w:right w:w="108" w:type="dxa"/>
          </w:tblCellMar>
        </w:tblPrEx>
        <w:trPr>
          <w:trHeight w:val="45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CP330212-2021-16</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姜山镇狮山公园西南片区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42.6041</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22.3442</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52.45%</w:t>
            </w:r>
          </w:p>
        </w:tc>
      </w:tr>
      <w:tr>
        <w:tblPrEx>
          <w:tblCellMar>
            <w:top w:w="0" w:type="dxa"/>
            <w:left w:w="108" w:type="dxa"/>
            <w:bottom w:w="0" w:type="dxa"/>
            <w:right w:w="108" w:type="dxa"/>
          </w:tblCellMar>
        </w:tblPrEx>
        <w:trPr>
          <w:trHeight w:val="45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CP330212-2021-17</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姜山未来社区片区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22.8224</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8.6765</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40.76%</w:t>
            </w:r>
          </w:p>
        </w:tc>
      </w:tr>
      <w:tr>
        <w:tblPrEx>
          <w:tblCellMar>
            <w:top w:w="0" w:type="dxa"/>
            <w:left w:w="108" w:type="dxa"/>
            <w:bottom w:w="0" w:type="dxa"/>
            <w:right w:w="108" w:type="dxa"/>
          </w:tblCellMar>
        </w:tblPrEx>
        <w:trPr>
          <w:trHeight w:val="45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CP330212-2021-18</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姜山朝阳1号工业片区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20.4544</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5.0294</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25.67%</w:t>
            </w:r>
          </w:p>
        </w:tc>
      </w:tr>
      <w:tr>
        <w:tblPrEx>
          <w:tblCellMar>
            <w:top w:w="0" w:type="dxa"/>
            <w:left w:w="108" w:type="dxa"/>
            <w:bottom w:w="0" w:type="dxa"/>
            <w:right w:w="108" w:type="dxa"/>
          </w:tblCellMar>
        </w:tblPrEx>
        <w:trPr>
          <w:trHeight w:val="45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CP330212-2021-19</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云龙镇核心片区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28.9254</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14.6176</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50.54%</w:t>
            </w:r>
          </w:p>
        </w:tc>
      </w:tr>
      <w:tr>
        <w:tblPrEx>
          <w:tblCellMar>
            <w:top w:w="0" w:type="dxa"/>
            <w:left w:w="108" w:type="dxa"/>
            <w:bottom w:w="0" w:type="dxa"/>
            <w:right w:w="108" w:type="dxa"/>
          </w:tblCellMar>
        </w:tblPrEx>
        <w:trPr>
          <w:trHeight w:val="45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CP330212-2021-21</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横溪片区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65.6988</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26.0008</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40.42%</w:t>
            </w:r>
          </w:p>
        </w:tc>
      </w:tr>
      <w:tr>
        <w:tblPrEx>
          <w:tblCellMar>
            <w:top w:w="0" w:type="dxa"/>
            <w:left w:w="108" w:type="dxa"/>
            <w:bottom w:w="0" w:type="dxa"/>
            <w:right w:w="108" w:type="dxa"/>
          </w:tblCellMar>
        </w:tblPrEx>
        <w:trPr>
          <w:trHeight w:val="79"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CP330212-2021-22</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龙汇未来社区片区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51.0501</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20.6384</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43.52%</w:t>
            </w:r>
          </w:p>
        </w:tc>
      </w:tr>
      <w:tr>
        <w:tblPrEx>
          <w:tblCellMar>
            <w:top w:w="0" w:type="dxa"/>
            <w:left w:w="108" w:type="dxa"/>
            <w:bottom w:w="0" w:type="dxa"/>
            <w:right w:w="108" w:type="dxa"/>
          </w:tblCellMar>
        </w:tblPrEx>
        <w:trPr>
          <w:trHeight w:val="45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CP330212-2021-23</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李家洋</w:t>
            </w:r>
            <w:r>
              <w:rPr>
                <w:rFonts w:hint="eastAsia" w:ascii="Times New Roman" w:hAnsi="Times New Roman" w:eastAsia="仿宋_GB2312" w:cs="仿宋"/>
                <w:kern w:val="0"/>
                <w:sz w:val="28"/>
                <w:szCs w:val="28"/>
                <w:lang w:bidi="zh-CN"/>
              </w:rPr>
              <w:t>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110.0724</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44.6925</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43.78%</w:t>
            </w:r>
          </w:p>
        </w:tc>
      </w:tr>
      <w:tr>
        <w:tblPrEx>
          <w:tblCellMar>
            <w:top w:w="0" w:type="dxa"/>
            <w:left w:w="108" w:type="dxa"/>
            <w:bottom w:w="0" w:type="dxa"/>
            <w:right w:w="108" w:type="dxa"/>
          </w:tblCellMar>
        </w:tblPrEx>
        <w:trPr>
          <w:trHeight w:val="45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CP330212-2021-26</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东吴镇DW01-02-11a片区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1.2241</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0.3503</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28.62%</w:t>
            </w:r>
          </w:p>
        </w:tc>
      </w:tr>
      <w:tr>
        <w:tblPrEx>
          <w:tblCellMar>
            <w:top w:w="0" w:type="dxa"/>
            <w:left w:w="108" w:type="dxa"/>
            <w:bottom w:w="0" w:type="dxa"/>
            <w:right w:w="108" w:type="dxa"/>
          </w:tblCellMar>
        </w:tblPrEx>
        <w:trPr>
          <w:trHeight w:val="450" w:hRule="atLeast"/>
        </w:trPr>
        <w:tc>
          <w:tcPr>
            <w:tcW w:w="2425"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CP330212-2021-28</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鄞州区JK01-03-b4、c2片区</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11.4145</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4.7094</w:t>
            </w:r>
          </w:p>
        </w:tc>
        <w:tc>
          <w:tcPr>
            <w:tcW w:w="107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41.26%</w:t>
            </w:r>
          </w:p>
        </w:tc>
      </w:tr>
      <w:tr>
        <w:tblPrEx>
          <w:tblCellMar>
            <w:top w:w="0" w:type="dxa"/>
            <w:left w:w="108" w:type="dxa"/>
            <w:bottom w:w="0" w:type="dxa"/>
            <w:right w:w="108" w:type="dxa"/>
          </w:tblCellMar>
        </w:tblPrEx>
        <w:trPr>
          <w:trHeight w:val="79" w:hRule="atLeast"/>
        </w:trPr>
        <w:tc>
          <w:tcPr>
            <w:tcW w:w="50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合计</w:t>
            </w:r>
          </w:p>
        </w:tc>
        <w:tc>
          <w:tcPr>
            <w:tcW w:w="12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400.1625</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165.4748</w:t>
            </w:r>
          </w:p>
        </w:tc>
        <w:tc>
          <w:tcPr>
            <w:tcW w:w="107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41.35%</w:t>
            </w:r>
          </w:p>
        </w:tc>
      </w:tr>
    </w:tbl>
    <w:p>
      <w:pPr>
        <w:pStyle w:val="5"/>
        <w:numPr>
          <w:ilvl w:val="0"/>
          <w:numId w:val="9"/>
        </w:numPr>
        <w:rPr>
          <w:rFonts w:ascii="Times New Roman" w:hAnsi="Times New Roman" w:eastAsia="仿宋_GB2312" w:cs="仿宋_GB2312"/>
          <w:b w:val="0"/>
          <w:kern w:val="0"/>
          <w:sz w:val="30"/>
          <w:szCs w:val="30"/>
          <w:lang w:val="zh-CN" w:bidi="zh-CN"/>
        </w:rPr>
      </w:pPr>
      <w:r>
        <w:rPr>
          <w:rFonts w:hint="eastAsia" w:ascii="Times New Roman" w:hAnsi="Times New Roman" w:eastAsia="仿宋_GB2312" w:cs="仿宋_GB2312"/>
          <w:b w:val="0"/>
          <w:kern w:val="0"/>
          <w:sz w:val="30"/>
          <w:szCs w:val="30"/>
          <w:lang w:val="zh-CN" w:bidi="zh-CN"/>
        </w:rPr>
        <w:t>生态效益</w:t>
      </w:r>
    </w:p>
    <w:p>
      <w:pPr>
        <w:autoSpaceDE w:val="0"/>
        <w:autoSpaceDN w:val="0"/>
        <w:spacing w:line="360" w:lineRule="auto"/>
        <w:ind w:firstLine="600" w:firstLineChars="200"/>
        <w:rPr>
          <w:rFonts w:ascii="Times New Roman" w:hAnsi="Times New Roman" w:eastAsia="仿宋_GB2312" w:cs="仿宋_GB2312"/>
          <w:kern w:val="0"/>
          <w:sz w:val="30"/>
          <w:lang w:val="zh-CN" w:bidi="zh-CN"/>
        </w:rPr>
      </w:pPr>
      <w:r>
        <w:rPr>
          <w:rFonts w:hint="eastAsia" w:ascii="Times New Roman" w:hAnsi="Times New Roman" w:eastAsia="仿宋_GB2312" w:cs="仿宋_GB2312"/>
          <w:kern w:val="0"/>
          <w:sz w:val="30"/>
          <w:lang w:val="zh-CN" w:bidi="zh-CN"/>
        </w:rPr>
        <w:t>本《方案》确定的成片开发范围内规划有较多的生态用地，绿地与开敞空间用地、陆地水域面积占比在1</w:t>
      </w:r>
      <w:r>
        <w:rPr>
          <w:rFonts w:ascii="Times New Roman" w:hAnsi="Times New Roman" w:eastAsia="仿宋_GB2312" w:cs="仿宋_GB2312"/>
          <w:kern w:val="0"/>
          <w:sz w:val="30"/>
          <w:lang w:val="zh-CN" w:bidi="zh-CN"/>
        </w:rPr>
        <w:t>5-</w:t>
      </w:r>
      <w:r>
        <w:rPr>
          <w:rFonts w:hint="eastAsia" w:ascii="Times New Roman" w:hAnsi="Times New Roman" w:eastAsia="仿宋_GB2312" w:cs="仿宋_GB2312"/>
          <w:kern w:val="0"/>
          <w:sz w:val="30"/>
          <w:lang w:val="zh-CN" w:bidi="zh-CN"/>
        </w:rPr>
        <w:t>2</w:t>
      </w:r>
      <w:r>
        <w:rPr>
          <w:rFonts w:ascii="Times New Roman" w:hAnsi="Times New Roman" w:eastAsia="仿宋_GB2312" w:cs="仿宋_GB2312"/>
          <w:kern w:val="0"/>
          <w:sz w:val="30"/>
          <w:lang w:val="zh-CN" w:bidi="zh-CN"/>
        </w:rPr>
        <w:t>0</w:t>
      </w:r>
      <w:r>
        <w:rPr>
          <w:rFonts w:hint="eastAsia" w:ascii="Times New Roman" w:hAnsi="Times New Roman" w:eastAsia="仿宋_GB2312" w:cs="仿宋_GB2312"/>
          <w:kern w:val="0"/>
          <w:sz w:val="30"/>
          <w:lang w:val="zh-CN" w:bidi="zh-CN"/>
        </w:rPr>
        <w:t>%左右，在一定程度上保护了各片区内的生态环境，为片区内的居民打造一个山清水秀、生态宜居的良好生活空间。片区内引进的工业项目多为高端、先进制造业，对生态环境产生的负面影响有限，通过采取必要的生产防护和净化处理措施，完全可将工业生产产生的污染物控制在环境的自净能力范围之内，同时结合生态修复以及补偿措施的实施，可确保片区内的生态环境不断向好发展。</w:t>
      </w:r>
    </w:p>
    <w:p>
      <w:pPr>
        <w:pStyle w:val="20"/>
        <w:spacing w:line="360" w:lineRule="auto"/>
        <w:ind w:left="0" w:firstLine="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表7：成片开发范围</w:t>
      </w:r>
      <w:r>
        <w:rPr>
          <w:rFonts w:hint="eastAsia" w:ascii="Times New Roman" w:hAnsi="Times New Roman" w:eastAsia="仿宋_GB2312" w:cs="Times New Roman"/>
          <w:sz w:val="30"/>
          <w:szCs w:val="30"/>
        </w:rPr>
        <w:t>内蓝绿空间</w:t>
      </w:r>
      <w:r>
        <w:rPr>
          <w:rFonts w:ascii="Times New Roman" w:hAnsi="Times New Roman" w:eastAsia="仿宋_GB2312" w:cs="Times New Roman"/>
          <w:sz w:val="30"/>
          <w:szCs w:val="30"/>
        </w:rPr>
        <w:t>用地情况表</w:t>
      </w:r>
    </w:p>
    <w:p>
      <w:pPr>
        <w:pStyle w:val="20"/>
        <w:spacing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单位：公顷</w:t>
      </w:r>
      <w:r>
        <w:rPr>
          <w:rFonts w:hint="eastAsia" w:ascii="Times New Roman" w:hAnsi="Times New Roman" w:eastAsia="仿宋_GB2312" w:cs="Times New Roman"/>
          <w:sz w:val="30"/>
          <w:szCs w:val="30"/>
        </w:rPr>
        <w:t>、%</w:t>
      </w:r>
    </w:p>
    <w:tbl>
      <w:tblPr>
        <w:tblStyle w:val="14"/>
        <w:tblW w:w="8300" w:type="dxa"/>
        <w:tblInd w:w="0" w:type="dxa"/>
        <w:tblLayout w:type="autofit"/>
        <w:tblCellMar>
          <w:top w:w="0" w:type="dxa"/>
          <w:left w:w="108" w:type="dxa"/>
          <w:bottom w:w="0" w:type="dxa"/>
          <w:right w:w="108" w:type="dxa"/>
        </w:tblCellMar>
      </w:tblPr>
      <w:tblGrid>
        <w:gridCol w:w="2425"/>
        <w:gridCol w:w="2260"/>
        <w:gridCol w:w="1402"/>
        <w:gridCol w:w="1261"/>
        <w:gridCol w:w="952"/>
      </w:tblGrid>
      <w:tr>
        <w:tblPrEx>
          <w:tblCellMar>
            <w:top w:w="0" w:type="dxa"/>
            <w:left w:w="108" w:type="dxa"/>
            <w:bottom w:w="0" w:type="dxa"/>
            <w:right w:w="108" w:type="dxa"/>
          </w:tblCellMar>
        </w:tblPrEx>
        <w:trPr>
          <w:trHeight w:val="1089" w:hRule="atLeast"/>
        </w:trPr>
        <w:tc>
          <w:tcPr>
            <w:tcW w:w="14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开发片区编号</w:t>
            </w:r>
          </w:p>
        </w:tc>
        <w:tc>
          <w:tcPr>
            <w:tcW w:w="27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开发片区名称</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面积</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蓝绿空间面积</w:t>
            </w:r>
          </w:p>
        </w:tc>
        <w:tc>
          <w:tcPr>
            <w:tcW w:w="1075" w:type="dxa"/>
            <w:tcBorders>
              <w:top w:val="single" w:color="auto" w:sz="4" w:space="0"/>
              <w:left w:val="single" w:color="auto" w:sz="4" w:space="0"/>
              <w:bottom w:val="single" w:color="auto" w:sz="4" w:space="0"/>
              <w:right w:val="single" w:color="000000"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占比</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CP330212-2021-</w:t>
            </w:r>
            <w:r>
              <w:rPr>
                <w:rFonts w:ascii="Times New Roman" w:hAnsi="Times New Roman" w:eastAsia="仿宋_GB2312" w:cs="仿宋"/>
                <w:kern w:val="0"/>
                <w:sz w:val="28"/>
                <w:szCs w:val="28"/>
                <w:lang w:bidi="zh-CN"/>
              </w:rPr>
              <w:t>11</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鄞州下应洋江水岸北侧片区</w:t>
            </w:r>
          </w:p>
        </w:tc>
        <w:tc>
          <w:tcPr>
            <w:tcW w:w="1559" w:type="dxa"/>
            <w:tcBorders>
              <w:top w:val="single" w:color="auto" w:sz="4" w:space="0"/>
              <w:left w:val="nil"/>
              <w:bottom w:val="single" w:color="auto" w:sz="4" w:space="0"/>
              <w:right w:val="nil"/>
            </w:tcBorders>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10.0417</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8"/>
                <w:szCs w:val="28"/>
              </w:rPr>
            </w:pPr>
            <w:r>
              <w:rPr>
                <w:rFonts w:ascii="Times New Roman" w:hAnsi="Times New Roman" w:cs="Times New Roman"/>
                <w:color w:val="000000"/>
                <w:sz w:val="28"/>
                <w:szCs w:val="28"/>
              </w:rPr>
              <w:t>2.1708</w:t>
            </w:r>
          </w:p>
        </w:tc>
        <w:tc>
          <w:tcPr>
            <w:tcW w:w="107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8"/>
                <w:szCs w:val="28"/>
              </w:rPr>
            </w:pPr>
            <w:r>
              <w:rPr>
                <w:rFonts w:ascii="Times New Roman" w:hAnsi="Times New Roman" w:cs="Times New Roman"/>
                <w:color w:val="000000"/>
                <w:sz w:val="28"/>
                <w:szCs w:val="28"/>
              </w:rPr>
              <w:t xml:space="preserve">21.62 </w:t>
            </w:r>
          </w:p>
        </w:tc>
      </w:tr>
      <w:tr>
        <w:tblPrEx>
          <w:tblCellMar>
            <w:top w:w="0" w:type="dxa"/>
            <w:left w:w="108" w:type="dxa"/>
            <w:bottom w:w="0" w:type="dxa"/>
            <w:right w:w="108" w:type="dxa"/>
          </w:tblCellMar>
        </w:tblPrEx>
        <w:trPr>
          <w:trHeight w:val="27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CP330212-2021-12</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鄞州中医院西侧片区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8.3946</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1.6571</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19.74 </w:t>
            </w:r>
          </w:p>
        </w:tc>
      </w:tr>
      <w:tr>
        <w:tblPrEx>
          <w:tblCellMar>
            <w:top w:w="0" w:type="dxa"/>
            <w:left w:w="108" w:type="dxa"/>
            <w:bottom w:w="0" w:type="dxa"/>
            <w:right w:w="108" w:type="dxa"/>
          </w:tblCellMar>
        </w:tblPrEx>
        <w:trPr>
          <w:trHeight w:val="27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CP330212-2021-15</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轨道交通3号线姜山站北片区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27.46</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6.8676</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25.01 </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CP330212-2021-16</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姜山镇狮山公园西南片区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42.6041</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17.9099</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42.04 </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CP330212-2021-17</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姜山未来社区片区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22.8224</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4.6092</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20.20 </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CP330212-2021-18</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姜山朝阳1号工业片区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20.4544</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3.0198</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14.76 </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CP330212-2021-19</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云龙镇核心片区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28.9254</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3.4811</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12.03 </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CP330212-2021-21</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横溪片区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65.6988</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5.1096</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7.78 </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CP330212-2021-22</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龙汇未来社区片区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51.0501</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10.5622</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20.69 </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CP330212-2021-23</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李家洋</w:t>
            </w:r>
            <w:r>
              <w:rPr>
                <w:rFonts w:hint="eastAsia" w:ascii="Times New Roman" w:hAnsi="Times New Roman" w:eastAsia="仿宋_GB2312" w:cs="仿宋"/>
                <w:kern w:val="0"/>
                <w:sz w:val="28"/>
                <w:szCs w:val="28"/>
                <w:lang w:bidi="zh-CN"/>
              </w:rPr>
              <w:t>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110.0724</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24.1192</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21.91 </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CP330212-2021-26</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鄞州</w:t>
            </w:r>
            <w:r>
              <w:rPr>
                <w:rFonts w:ascii="Times New Roman" w:hAnsi="Times New Roman" w:eastAsia="仿宋_GB2312" w:cs="仿宋"/>
                <w:kern w:val="0"/>
                <w:sz w:val="28"/>
                <w:szCs w:val="28"/>
                <w:lang w:bidi="zh-CN"/>
              </w:rPr>
              <w:t>东吴镇DW01-02-11a片区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1.2241</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0.1675</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13.68 </w:t>
            </w:r>
          </w:p>
        </w:tc>
      </w:tr>
      <w:tr>
        <w:tblPrEx>
          <w:tblCellMar>
            <w:top w:w="0" w:type="dxa"/>
            <w:left w:w="108" w:type="dxa"/>
            <w:bottom w:w="0" w:type="dxa"/>
            <w:right w:w="108" w:type="dxa"/>
          </w:tblCellMar>
        </w:tblPrEx>
        <w:trPr>
          <w:trHeight w:val="450" w:hRule="atLeast"/>
        </w:trPr>
        <w:tc>
          <w:tcPr>
            <w:tcW w:w="1493" w:type="dxa"/>
            <w:tcBorders>
              <w:top w:val="nil"/>
              <w:left w:val="single" w:color="auto" w:sz="4" w:space="0"/>
              <w:bottom w:val="single" w:color="auto" w:sz="4" w:space="0"/>
              <w:right w:val="single" w:color="auto" w:sz="4" w:space="0"/>
            </w:tcBorders>
            <w:shd w:val="clear" w:color="auto" w:fill="auto"/>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CP330212-2021-28</w:t>
            </w:r>
          </w:p>
        </w:tc>
        <w:tc>
          <w:tcPr>
            <w:tcW w:w="27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鄞州区JK01-03-b4、c2片区</w:t>
            </w:r>
          </w:p>
        </w:tc>
        <w:tc>
          <w:tcPr>
            <w:tcW w:w="1559" w:type="dxa"/>
            <w:tcBorders>
              <w:top w:val="single" w:color="auto" w:sz="4" w:space="0"/>
              <w:left w:val="nil"/>
              <w:bottom w:val="single" w:color="auto" w:sz="4" w:space="0"/>
              <w:right w:val="nil"/>
            </w:tcBorders>
            <w:vAlign w:val="center"/>
          </w:tcPr>
          <w:p>
            <w:pPr>
              <w:jc w:val="center"/>
              <w:rPr>
                <w:rFonts w:ascii="Times New Roman" w:hAnsi="Times New Roman" w:eastAsia="仿宋_GB2312" w:cs="仿宋"/>
                <w:kern w:val="0"/>
                <w:sz w:val="28"/>
                <w:szCs w:val="28"/>
                <w:lang w:bidi="zh-CN"/>
              </w:rPr>
            </w:pPr>
            <w:r>
              <w:rPr>
                <w:rFonts w:ascii="Times New Roman" w:hAnsi="Times New Roman" w:eastAsia="仿宋_GB2312" w:cs="仿宋"/>
                <w:kern w:val="0"/>
                <w:sz w:val="28"/>
                <w:szCs w:val="28"/>
                <w:lang w:bidi="zh-CN"/>
              </w:rPr>
              <w:t>11.4145</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3.0881</w:t>
            </w:r>
          </w:p>
        </w:tc>
        <w:tc>
          <w:tcPr>
            <w:tcW w:w="1075" w:type="dxa"/>
            <w:tcBorders>
              <w:top w:val="nil"/>
              <w:left w:val="nil"/>
              <w:bottom w:val="single" w:color="auto" w:sz="4" w:space="0"/>
              <w:right w:val="single" w:color="auto" w:sz="4" w:space="0"/>
            </w:tcBorders>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27.05 </w:t>
            </w:r>
          </w:p>
        </w:tc>
      </w:tr>
      <w:tr>
        <w:tblPrEx>
          <w:tblCellMar>
            <w:top w:w="0" w:type="dxa"/>
            <w:left w:w="108" w:type="dxa"/>
            <w:bottom w:w="0" w:type="dxa"/>
            <w:right w:w="108" w:type="dxa"/>
          </w:tblCellMar>
        </w:tblPrEx>
        <w:trPr>
          <w:trHeight w:val="450" w:hRule="atLeast"/>
        </w:trPr>
        <w:tc>
          <w:tcPr>
            <w:tcW w:w="4248"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合计</w:t>
            </w:r>
          </w:p>
        </w:tc>
        <w:tc>
          <w:tcPr>
            <w:tcW w:w="1559" w:type="dxa"/>
            <w:tcBorders>
              <w:top w:val="single" w:color="auto" w:sz="4" w:space="0"/>
              <w:left w:val="nil"/>
              <w:bottom w:val="single" w:color="auto" w:sz="4" w:space="0"/>
              <w:right w:val="nil"/>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4</w:t>
            </w:r>
            <w:r>
              <w:rPr>
                <w:rFonts w:ascii="Times New Roman" w:hAnsi="Times New Roman" w:eastAsia="仿宋_GB2312" w:cs="仿宋"/>
                <w:kern w:val="0"/>
                <w:sz w:val="28"/>
                <w:szCs w:val="28"/>
                <w:lang w:bidi="zh-CN"/>
              </w:rPr>
              <w:t>00.1625</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8</w:t>
            </w:r>
            <w:r>
              <w:rPr>
                <w:rFonts w:ascii="Times New Roman" w:hAnsi="Times New Roman" w:eastAsia="仿宋_GB2312" w:cs="仿宋"/>
                <w:kern w:val="0"/>
                <w:sz w:val="28"/>
                <w:szCs w:val="28"/>
                <w:lang w:bidi="zh-CN"/>
              </w:rPr>
              <w:t>2.7621</w:t>
            </w:r>
          </w:p>
        </w:tc>
        <w:tc>
          <w:tcPr>
            <w:tcW w:w="10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仿宋"/>
                <w:kern w:val="0"/>
                <w:sz w:val="28"/>
                <w:szCs w:val="28"/>
                <w:lang w:bidi="zh-CN"/>
              </w:rPr>
            </w:pPr>
            <w:r>
              <w:rPr>
                <w:rFonts w:hint="eastAsia" w:ascii="Times New Roman" w:hAnsi="Times New Roman" w:eastAsia="仿宋_GB2312" w:cs="仿宋"/>
                <w:kern w:val="0"/>
                <w:sz w:val="28"/>
                <w:szCs w:val="28"/>
                <w:lang w:bidi="zh-CN"/>
              </w:rPr>
              <w:t>2</w:t>
            </w:r>
            <w:r>
              <w:rPr>
                <w:rFonts w:ascii="Times New Roman" w:hAnsi="Times New Roman" w:eastAsia="仿宋_GB2312" w:cs="仿宋"/>
                <w:kern w:val="0"/>
                <w:sz w:val="28"/>
                <w:szCs w:val="28"/>
                <w:lang w:bidi="zh-CN"/>
              </w:rPr>
              <w:t>0.68</w:t>
            </w:r>
          </w:p>
        </w:tc>
      </w:tr>
    </w:tbl>
    <w:p>
      <w:pPr>
        <w:pStyle w:val="5"/>
        <w:numPr>
          <w:ilvl w:val="0"/>
          <w:numId w:val="9"/>
        </w:numPr>
        <w:rPr>
          <w:rFonts w:ascii="Times New Roman" w:hAnsi="Times New Roman" w:eastAsia="仿宋_GB2312" w:cs="仿宋_GB2312"/>
          <w:b w:val="0"/>
          <w:kern w:val="0"/>
          <w:sz w:val="30"/>
          <w:szCs w:val="30"/>
          <w:lang w:val="zh-CN" w:bidi="zh-CN"/>
        </w:rPr>
      </w:pPr>
      <w:r>
        <w:rPr>
          <w:rFonts w:hint="eastAsia" w:ascii="Times New Roman" w:hAnsi="Times New Roman" w:eastAsia="仿宋_GB2312" w:cs="仿宋_GB2312"/>
          <w:b w:val="0"/>
          <w:kern w:val="0"/>
          <w:sz w:val="30"/>
          <w:szCs w:val="30"/>
          <w:lang w:val="zh-CN" w:bidi="zh-CN"/>
        </w:rPr>
        <w:t>土地利用效益</w:t>
      </w:r>
    </w:p>
    <w:p>
      <w:pPr>
        <w:autoSpaceDE w:val="0"/>
        <w:autoSpaceDN w:val="0"/>
        <w:spacing w:line="360" w:lineRule="auto"/>
        <w:ind w:firstLine="600" w:firstLineChars="200"/>
        <w:rPr>
          <w:rFonts w:ascii="Times New Roman" w:hAnsi="Times New Roman" w:eastAsia="仿宋_GB2312" w:cs="仿宋_GB2312"/>
          <w:kern w:val="0"/>
          <w:sz w:val="30"/>
          <w:lang w:val="zh-CN" w:bidi="zh-CN"/>
        </w:rPr>
      </w:pPr>
      <w:r>
        <w:rPr>
          <w:rFonts w:hint="eastAsia" w:ascii="Times New Roman" w:hAnsi="Times New Roman" w:eastAsia="仿宋_GB2312" w:cs="仿宋_GB2312"/>
          <w:kern w:val="0"/>
          <w:sz w:val="30"/>
          <w:lang w:val="zh-CN" w:bidi="zh-CN"/>
        </w:rPr>
        <w:t>本《方案》有效整合了区域内土地资源，</w:t>
      </w:r>
      <w:r>
        <w:rPr>
          <w:rFonts w:hint="eastAsia" w:ascii="Times New Roman" w:hAnsi="Times New Roman" w:eastAsia="仿宋_GB2312" w:cs="仿宋_GB2312"/>
          <w:kern w:val="0"/>
          <w:sz w:val="30"/>
          <w:lang w:bidi="zh-CN"/>
        </w:rPr>
        <w:t>通过对各片区内部各类用地比例以及规模的约束，有利于</w:t>
      </w:r>
      <w:r>
        <w:rPr>
          <w:rFonts w:hint="eastAsia" w:ascii="Times New Roman" w:hAnsi="Times New Roman" w:eastAsia="仿宋_GB2312" w:cs="仿宋_GB2312"/>
          <w:kern w:val="0"/>
          <w:sz w:val="30"/>
          <w:lang w:val="zh-CN" w:bidi="zh-CN"/>
        </w:rPr>
        <w:t>促进土地资源要素的统筹利用</w:t>
      </w:r>
      <w:r>
        <w:rPr>
          <w:rFonts w:hint="eastAsia" w:ascii="Times New Roman" w:hAnsi="Times New Roman" w:eastAsia="仿宋_GB2312" w:cs="仿宋_GB2312"/>
          <w:kern w:val="0"/>
          <w:sz w:val="30"/>
          <w:lang w:bidi="zh-CN"/>
        </w:rPr>
        <w:t>，从而形成良好的生产、生活、生态空间结构与布局，提升土地利用的结构性效益。</w:t>
      </w:r>
    </w:p>
    <w:p>
      <w:pPr>
        <w:pStyle w:val="7"/>
        <w:numPr>
          <w:ilvl w:val="0"/>
          <w:numId w:val="1"/>
        </w:numPr>
        <w:autoSpaceDE w:val="0"/>
        <w:autoSpaceDN w:val="0"/>
        <w:spacing w:before="159" w:line="360" w:lineRule="auto"/>
        <w:jc w:val="left"/>
        <w:outlineLvl w:val="0"/>
        <w:rPr>
          <w:rFonts w:ascii="黑体" w:eastAsia="黑体"/>
          <w:kern w:val="0"/>
          <w:lang w:val="en-US"/>
        </w:rPr>
      </w:pPr>
      <w:bookmarkStart w:id="11" w:name="_Toc86252595"/>
      <w:r>
        <w:rPr>
          <w:rFonts w:hint="eastAsia" w:ascii="黑体" w:eastAsia="黑体"/>
          <w:kern w:val="0"/>
          <w:lang w:val="en-US"/>
        </w:rPr>
        <w:t>已批准方案实施情况</w:t>
      </w:r>
      <w:bookmarkEnd w:id="11"/>
    </w:p>
    <w:p>
      <w:pPr>
        <w:autoSpaceDE w:val="0"/>
        <w:autoSpaceDN w:val="0"/>
        <w:spacing w:line="360" w:lineRule="auto"/>
        <w:ind w:firstLine="600" w:firstLineChars="200"/>
        <w:jc w:val="left"/>
        <w:rPr>
          <w:rFonts w:ascii="Times New Roman" w:hAnsi="Times New Roman" w:eastAsia="仿宋_GB2312" w:cs="仿宋_GB2312"/>
          <w:kern w:val="0"/>
          <w:sz w:val="30"/>
          <w:lang w:bidi="zh-CN"/>
        </w:rPr>
      </w:pPr>
      <w:r>
        <w:rPr>
          <w:rFonts w:hint="eastAsia" w:ascii="Times New Roman" w:hAnsi="Times New Roman" w:eastAsia="仿宋_GB2312" w:cs="仿宋_GB2312"/>
          <w:kern w:val="0"/>
          <w:sz w:val="30"/>
          <w:lang w:bidi="zh-CN"/>
        </w:rPr>
        <w:t>目前，鄞州区无已批准的成片开发方案实施。</w:t>
      </w:r>
    </w:p>
    <w:p>
      <w:pPr>
        <w:pStyle w:val="7"/>
        <w:numPr>
          <w:ilvl w:val="0"/>
          <w:numId w:val="1"/>
        </w:numPr>
        <w:autoSpaceDE w:val="0"/>
        <w:autoSpaceDN w:val="0"/>
        <w:spacing w:before="159" w:line="360" w:lineRule="auto"/>
        <w:jc w:val="left"/>
        <w:outlineLvl w:val="0"/>
        <w:rPr>
          <w:rFonts w:ascii="黑体" w:eastAsia="黑体"/>
          <w:kern w:val="0"/>
          <w:lang w:val="en-US"/>
        </w:rPr>
      </w:pPr>
      <w:bookmarkStart w:id="12" w:name="_Toc86252596"/>
      <w:r>
        <w:rPr>
          <w:rFonts w:hint="eastAsia" w:ascii="黑体" w:eastAsia="黑体"/>
          <w:kern w:val="0"/>
          <w:lang w:val="en-US"/>
        </w:rPr>
        <w:t>承诺纳入土地征收成片开发方案的事项</w:t>
      </w:r>
      <w:bookmarkEnd w:id="12"/>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2020年1月1日至《浙江省土地征收成片开发方案编制与审核办法（试行）》（浙自然资规〔2021〕3号）下发前，鄞州区以土地征收成片开发情形或承诺纳入土地征收成片开发方案批准土地征收的项目具体信息详见表</w:t>
      </w:r>
      <w:r>
        <w:rPr>
          <w:rFonts w:ascii="Times New Roman" w:hAnsi="Times New Roman" w:eastAsia="仿宋_GB2312" w:cs="仿宋"/>
          <w:kern w:val="0"/>
          <w:sz w:val="30"/>
          <w:szCs w:val="30"/>
          <w:lang w:bidi="zh-CN"/>
        </w:rPr>
        <w:t>5</w:t>
      </w:r>
      <w:r>
        <w:rPr>
          <w:rFonts w:hint="eastAsia" w:ascii="Times New Roman" w:hAnsi="Times New Roman" w:eastAsia="仿宋_GB2312" w:cs="仿宋"/>
          <w:kern w:val="0"/>
          <w:sz w:val="30"/>
          <w:szCs w:val="30"/>
          <w:lang w:bidi="zh-CN"/>
        </w:rPr>
        <w:t>。</w:t>
      </w:r>
    </w:p>
    <w:p>
      <w:pPr>
        <w:pStyle w:val="7"/>
        <w:numPr>
          <w:ilvl w:val="0"/>
          <w:numId w:val="1"/>
        </w:numPr>
        <w:autoSpaceDE w:val="0"/>
        <w:autoSpaceDN w:val="0"/>
        <w:spacing w:before="159" w:line="360" w:lineRule="auto"/>
        <w:jc w:val="left"/>
        <w:outlineLvl w:val="0"/>
        <w:rPr>
          <w:rFonts w:ascii="黑体" w:eastAsia="黑体"/>
          <w:kern w:val="0"/>
          <w:lang w:val="en-US"/>
        </w:rPr>
      </w:pPr>
      <w:bookmarkStart w:id="13" w:name="_Toc86252597"/>
      <w:r>
        <w:rPr>
          <w:rFonts w:hint="eastAsia" w:ascii="黑体" w:eastAsia="黑体"/>
          <w:kern w:val="0"/>
          <w:lang w:val="en-US"/>
        </w:rPr>
        <w:t>意见征询情况</w:t>
      </w:r>
      <w:bookmarkEnd w:id="13"/>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《方案》已完成对拟征地农村集体经济组织和农民的意见征询且均已通过2/3以上的参会村民代表同意。</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为确保《方案》编制成果的科学性、合理性，鄞州区人民政府组织由人大代表、政协委员、社会公众以及有关专家学者参加的论证会，与会代表和专家对《方案》予以肯定。</w:t>
      </w:r>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《方案》在宁波市自然资源和规划局鄞州分局网站进行公开征求意见。</w:t>
      </w:r>
    </w:p>
    <w:p>
      <w:pPr>
        <w:pStyle w:val="7"/>
        <w:numPr>
          <w:ilvl w:val="0"/>
          <w:numId w:val="1"/>
        </w:numPr>
        <w:autoSpaceDE w:val="0"/>
        <w:autoSpaceDN w:val="0"/>
        <w:spacing w:before="159" w:line="360" w:lineRule="auto"/>
        <w:jc w:val="left"/>
        <w:outlineLvl w:val="0"/>
        <w:rPr>
          <w:rFonts w:ascii="黑体" w:eastAsia="黑体"/>
          <w:kern w:val="0"/>
          <w:lang w:val="en-US"/>
        </w:rPr>
      </w:pPr>
      <w:bookmarkStart w:id="14" w:name="_Toc86252598"/>
      <w:r>
        <w:rPr>
          <w:rFonts w:hint="eastAsia" w:ascii="黑体" w:eastAsia="黑体"/>
          <w:kern w:val="0"/>
          <w:lang w:val="en-US"/>
        </w:rPr>
        <w:t>数据真实性</w:t>
      </w:r>
      <w:bookmarkEnd w:id="14"/>
    </w:p>
    <w:p>
      <w:pPr>
        <w:autoSpaceDE w:val="0"/>
        <w:autoSpaceDN w:val="0"/>
        <w:spacing w:line="360" w:lineRule="auto"/>
        <w:ind w:firstLine="600" w:firstLineChars="200"/>
        <w:rPr>
          <w:rFonts w:ascii="Times New Roman" w:hAnsi="Times New Roman" w:eastAsia="仿宋_GB2312" w:cs="仿宋"/>
          <w:kern w:val="0"/>
          <w:sz w:val="30"/>
          <w:szCs w:val="30"/>
          <w:lang w:bidi="zh-CN"/>
        </w:rPr>
      </w:pPr>
      <w:r>
        <w:rPr>
          <w:rFonts w:ascii="Times New Roman" w:hAnsi="Times New Roman" w:eastAsia="仿宋_GB2312" w:cs="仿宋"/>
          <w:kern w:val="0"/>
          <w:sz w:val="30"/>
          <w:szCs w:val="30"/>
          <w:lang w:bidi="zh-CN"/>
        </w:rPr>
        <w:t>本方案中所有数据均真实有效</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并经自然资源和规划等相关部门校核</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为保证后续土地征收工作的顺利推进</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应依据本方案进行相应规划设计</w:t>
      </w:r>
      <w:r>
        <w:rPr>
          <w:rFonts w:hint="eastAsia" w:ascii="Times New Roman" w:hAnsi="Times New Roman" w:eastAsia="仿宋_GB2312" w:cs="仿宋"/>
          <w:kern w:val="0"/>
          <w:sz w:val="30"/>
          <w:szCs w:val="30"/>
          <w:lang w:bidi="zh-CN"/>
        </w:rPr>
        <w:t>，</w:t>
      </w:r>
      <w:r>
        <w:rPr>
          <w:rFonts w:ascii="Times New Roman" w:hAnsi="Times New Roman" w:eastAsia="仿宋_GB2312" w:cs="仿宋"/>
          <w:kern w:val="0"/>
          <w:sz w:val="30"/>
          <w:szCs w:val="30"/>
          <w:lang w:bidi="zh-CN"/>
        </w:rPr>
        <w:t>保障公共利益</w:t>
      </w:r>
      <w:r>
        <w:rPr>
          <w:rFonts w:hint="eastAsia" w:ascii="Times New Roman" w:hAnsi="Times New Roman" w:eastAsia="仿宋_GB2312" w:cs="仿宋"/>
          <w:kern w:val="0"/>
          <w:sz w:val="30"/>
          <w:szCs w:val="30"/>
          <w:lang w:bidi="zh-CN"/>
        </w:rPr>
        <w:t>。</w:t>
      </w:r>
    </w:p>
    <w:p>
      <w:pPr>
        <w:pStyle w:val="7"/>
        <w:numPr>
          <w:ilvl w:val="0"/>
          <w:numId w:val="1"/>
        </w:numPr>
        <w:autoSpaceDE w:val="0"/>
        <w:autoSpaceDN w:val="0"/>
        <w:spacing w:before="159" w:line="360" w:lineRule="auto"/>
        <w:jc w:val="left"/>
        <w:outlineLvl w:val="0"/>
        <w:rPr>
          <w:rFonts w:ascii="黑体" w:eastAsia="黑体"/>
          <w:kern w:val="0"/>
          <w:lang w:val="en-US"/>
        </w:rPr>
      </w:pPr>
      <w:bookmarkStart w:id="15" w:name="_Toc86252599"/>
      <w:r>
        <w:rPr>
          <w:rFonts w:ascii="黑体" w:eastAsia="黑体"/>
          <w:kern w:val="0"/>
          <w:lang w:val="en-US"/>
        </w:rPr>
        <w:t>其他情况</w:t>
      </w:r>
      <w:bookmarkEnd w:id="15"/>
    </w:p>
    <w:p>
      <w:pPr>
        <w:pStyle w:val="20"/>
        <w:numPr>
          <w:ilvl w:val="0"/>
          <w:numId w:val="10"/>
        </w:numPr>
        <w:autoSpaceDE w:val="0"/>
        <w:autoSpaceDN w:val="0"/>
        <w:spacing w:line="360" w:lineRule="auto"/>
        <w:ind w:left="0" w:firstLine="709"/>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本方案中未涉及特殊项目，无需相关部门出具支撑性文件。</w:t>
      </w:r>
    </w:p>
    <w:p>
      <w:pPr>
        <w:pStyle w:val="20"/>
        <w:numPr>
          <w:ilvl w:val="0"/>
          <w:numId w:val="10"/>
        </w:numPr>
        <w:autoSpaceDE w:val="0"/>
        <w:autoSpaceDN w:val="0"/>
        <w:spacing w:line="360" w:lineRule="auto"/>
        <w:ind w:left="0" w:firstLine="709"/>
        <w:rPr>
          <w:rFonts w:ascii="Times New Roman" w:hAnsi="Times New Roman" w:eastAsia="仿宋_GB2312" w:cs="仿宋"/>
          <w:kern w:val="0"/>
          <w:sz w:val="30"/>
          <w:szCs w:val="30"/>
          <w:lang w:bidi="zh-CN"/>
        </w:rPr>
      </w:pPr>
      <w:r>
        <w:rPr>
          <w:rFonts w:hint="eastAsia" w:ascii="Times New Roman" w:hAnsi="Times New Roman" w:eastAsia="仿宋_GB2312" w:cs="仿宋"/>
          <w:kern w:val="0"/>
          <w:sz w:val="30"/>
          <w:szCs w:val="30"/>
          <w:lang w:bidi="zh-CN"/>
        </w:rPr>
        <w:t>这些新增建设用地将分时序进行建设，2</w:t>
      </w:r>
      <w:r>
        <w:rPr>
          <w:rFonts w:ascii="Times New Roman" w:hAnsi="Times New Roman" w:eastAsia="仿宋_GB2312" w:cs="仿宋"/>
          <w:kern w:val="0"/>
          <w:sz w:val="30"/>
          <w:szCs w:val="30"/>
          <w:lang w:bidi="zh-CN"/>
        </w:rPr>
        <w:t>021年度的新增</w:t>
      </w:r>
      <w:r>
        <w:rPr>
          <w:rFonts w:hint="eastAsia" w:ascii="Times New Roman" w:hAnsi="Times New Roman" w:eastAsia="仿宋_GB2312" w:cs="仿宋"/>
          <w:kern w:val="0"/>
          <w:sz w:val="30"/>
          <w:szCs w:val="30"/>
          <w:lang w:bidi="zh-CN"/>
        </w:rPr>
        <w:t>用地</w:t>
      </w:r>
      <w:r>
        <w:rPr>
          <w:rFonts w:ascii="Times New Roman" w:hAnsi="Times New Roman" w:eastAsia="仿宋_GB2312" w:cs="仿宋"/>
          <w:kern w:val="0"/>
          <w:sz w:val="30"/>
          <w:szCs w:val="30"/>
          <w:lang w:bidi="zh-CN"/>
        </w:rPr>
        <w:t>量符合</w:t>
      </w:r>
      <w:r>
        <w:rPr>
          <w:rFonts w:hint="eastAsia" w:ascii="Times New Roman" w:hAnsi="Times New Roman" w:eastAsia="仿宋_GB2312" w:cs="仿宋"/>
          <w:kern w:val="0"/>
          <w:sz w:val="30"/>
          <w:szCs w:val="30"/>
          <w:lang w:bidi="zh-CN"/>
        </w:rPr>
        <w:t>估算的该年度新增建设用地计划要求。</w:t>
      </w:r>
    </w:p>
    <w:p>
      <w:pPr>
        <w:autoSpaceDE w:val="0"/>
        <w:autoSpaceDN w:val="0"/>
        <w:spacing w:line="360" w:lineRule="auto"/>
        <w:rPr>
          <w:rFonts w:ascii="Times New Roman" w:hAnsi="Times New Roman" w:eastAsia="仿宋_GB2312" w:cs="仿宋"/>
          <w:kern w:val="0"/>
          <w:sz w:val="30"/>
          <w:szCs w:val="30"/>
          <w:lang w:bidi="zh-CN"/>
        </w:rPr>
      </w:pPr>
    </w:p>
    <w:p>
      <w:pPr>
        <w:autoSpaceDE w:val="0"/>
        <w:autoSpaceDN w:val="0"/>
        <w:spacing w:line="360" w:lineRule="auto"/>
        <w:jc w:val="left"/>
        <w:rPr>
          <w:rFonts w:ascii="黑体" w:hAnsi="黑体" w:eastAsia="黑体" w:cs="黑体"/>
          <w:sz w:val="32"/>
        </w:rPr>
        <w:sectPr>
          <w:footerReference r:id="rId4" w:type="default"/>
          <w:pgSz w:w="11910" w:h="16840"/>
          <w:pgMar w:top="1440" w:right="1800" w:bottom="1440" w:left="1800" w:header="0" w:footer="1158" w:gutter="0"/>
          <w:pgNumType w:start="1"/>
          <w:cols w:space="720" w:num="1"/>
          <w:docGrid w:linePitch="286" w:charSpace="0"/>
        </w:sectPr>
      </w:pPr>
    </w:p>
    <w:p>
      <w:pPr>
        <w:autoSpaceDE w:val="0"/>
        <w:autoSpaceDN w:val="0"/>
        <w:spacing w:line="360" w:lineRule="auto"/>
        <w:jc w:val="center"/>
        <w:rPr>
          <w:rFonts w:ascii="黑体" w:hAnsi="黑体" w:eastAsia="黑体" w:cs="黑体"/>
          <w:sz w:val="32"/>
        </w:rPr>
      </w:pPr>
      <w:r>
        <w:rPr>
          <w:rFonts w:hint="eastAsia" w:ascii="黑体" w:hAnsi="黑体" w:eastAsia="黑体" w:cs="黑体"/>
          <w:sz w:val="32"/>
        </w:rPr>
        <w:t>附表目录</w:t>
      </w:r>
    </w:p>
    <w:p>
      <w:pPr>
        <w:autoSpaceDE w:val="0"/>
        <w:autoSpaceDN w:val="0"/>
        <w:spacing w:line="360" w:lineRule="auto"/>
        <w:jc w:val="left"/>
        <w:rPr>
          <w:rFonts w:ascii="黑体" w:hAnsi="黑体" w:eastAsia="黑体" w:cs="黑体"/>
          <w:sz w:val="32"/>
        </w:rPr>
      </w:pPr>
    </w:p>
    <w:p>
      <w:pPr>
        <w:widowControl/>
        <w:spacing w:line="360" w:lineRule="auto"/>
        <w:rPr>
          <w:rFonts w:ascii="Times New Roman" w:hAnsi="Times New Roman" w:eastAsia="仿宋_GB2312" w:cs="仿宋"/>
          <w:kern w:val="0"/>
          <w:sz w:val="28"/>
          <w:szCs w:val="30"/>
          <w:lang w:bidi="zh-CN"/>
        </w:rPr>
      </w:pPr>
      <w:r>
        <w:rPr>
          <w:rFonts w:hint="eastAsia" w:ascii="Times New Roman" w:hAnsi="Times New Roman" w:eastAsia="仿宋_GB2312" w:cs="仿宋"/>
          <w:kern w:val="0"/>
          <w:sz w:val="28"/>
          <w:szCs w:val="30"/>
          <w:lang w:bidi="zh-CN"/>
        </w:rPr>
        <w:t>表 1</w:t>
      </w:r>
      <w:r>
        <w:rPr>
          <w:rFonts w:hint="eastAsia" w:ascii="Times New Roman" w:hAnsi="Times New Roman" w:eastAsia="仿宋_GB2312" w:cs="仿宋"/>
          <w:kern w:val="0"/>
          <w:sz w:val="28"/>
          <w:szCs w:val="30"/>
          <w:lang w:bidi="zh-CN"/>
        </w:rPr>
        <w:tab/>
      </w:r>
      <w:r>
        <w:rPr>
          <w:rFonts w:hint="eastAsia" w:ascii="Times New Roman" w:hAnsi="Times New Roman" w:eastAsia="仿宋_GB2312" w:cs="仿宋"/>
          <w:kern w:val="0"/>
          <w:sz w:val="28"/>
          <w:szCs w:val="30"/>
          <w:lang w:bidi="zh-CN"/>
        </w:rPr>
        <w:t>拟申请土地征收成片开发方案片区情况汇总表</w:t>
      </w:r>
    </w:p>
    <w:p>
      <w:pPr>
        <w:widowControl/>
        <w:spacing w:line="360" w:lineRule="auto"/>
        <w:rPr>
          <w:rFonts w:ascii="Times New Roman" w:hAnsi="Times New Roman" w:eastAsia="仿宋_GB2312" w:cs="仿宋"/>
          <w:kern w:val="0"/>
          <w:sz w:val="28"/>
          <w:szCs w:val="30"/>
          <w:lang w:bidi="zh-CN"/>
        </w:rPr>
      </w:pPr>
      <w:r>
        <w:rPr>
          <w:rFonts w:hint="eastAsia" w:ascii="Times New Roman" w:hAnsi="Times New Roman" w:eastAsia="仿宋_GB2312" w:cs="仿宋"/>
          <w:kern w:val="0"/>
          <w:sz w:val="28"/>
          <w:szCs w:val="30"/>
          <w:lang w:bidi="zh-CN"/>
        </w:rPr>
        <w:t>表 2</w:t>
      </w:r>
      <w:r>
        <w:rPr>
          <w:rFonts w:hint="eastAsia" w:ascii="Times New Roman" w:hAnsi="Times New Roman" w:eastAsia="仿宋_GB2312" w:cs="仿宋"/>
          <w:kern w:val="0"/>
          <w:sz w:val="28"/>
          <w:szCs w:val="30"/>
          <w:lang w:bidi="zh-CN"/>
        </w:rPr>
        <w:tab/>
      </w:r>
      <w:r>
        <w:rPr>
          <w:rFonts w:hint="eastAsia" w:ascii="Times New Roman" w:hAnsi="Times New Roman" w:eastAsia="仿宋_GB2312" w:cs="仿宋"/>
          <w:kern w:val="0"/>
          <w:sz w:val="28"/>
          <w:szCs w:val="30"/>
          <w:lang w:bidi="zh-CN"/>
        </w:rPr>
        <w:t>拟申请土地征收成片开发方案基本信息表</w:t>
      </w:r>
    </w:p>
    <w:p>
      <w:pPr>
        <w:widowControl/>
        <w:spacing w:line="360" w:lineRule="auto"/>
        <w:rPr>
          <w:rFonts w:ascii="Times New Roman" w:hAnsi="Times New Roman" w:eastAsia="仿宋_GB2312" w:cs="仿宋"/>
          <w:kern w:val="0"/>
          <w:sz w:val="28"/>
          <w:szCs w:val="30"/>
          <w:lang w:bidi="zh-CN"/>
        </w:rPr>
      </w:pPr>
      <w:r>
        <w:rPr>
          <w:rFonts w:hint="eastAsia" w:ascii="Times New Roman" w:hAnsi="Times New Roman" w:eastAsia="仿宋_GB2312" w:cs="仿宋"/>
          <w:kern w:val="0"/>
          <w:sz w:val="28"/>
          <w:szCs w:val="30"/>
          <w:lang w:bidi="zh-CN"/>
        </w:rPr>
        <w:t>表 3</w:t>
      </w:r>
      <w:r>
        <w:rPr>
          <w:rFonts w:hint="eastAsia" w:ascii="Times New Roman" w:hAnsi="Times New Roman" w:eastAsia="仿宋_GB2312" w:cs="仿宋"/>
          <w:kern w:val="0"/>
          <w:sz w:val="28"/>
          <w:szCs w:val="30"/>
          <w:lang w:bidi="zh-CN"/>
        </w:rPr>
        <w:tab/>
      </w:r>
      <w:r>
        <w:rPr>
          <w:rFonts w:hint="eastAsia" w:ascii="Times New Roman" w:hAnsi="Times New Roman" w:eastAsia="仿宋_GB2312" w:cs="仿宋"/>
          <w:kern w:val="0"/>
          <w:sz w:val="28"/>
          <w:szCs w:val="30"/>
          <w:lang w:bidi="zh-CN"/>
        </w:rPr>
        <w:t>土地征收成片开发方案年度实施计划安排表</w:t>
      </w:r>
    </w:p>
    <w:p>
      <w:pPr>
        <w:widowControl/>
        <w:spacing w:line="360" w:lineRule="auto"/>
        <w:rPr>
          <w:rFonts w:ascii="Times New Roman" w:hAnsi="Times New Roman" w:eastAsia="仿宋_GB2312" w:cs="仿宋"/>
          <w:kern w:val="0"/>
          <w:sz w:val="28"/>
          <w:szCs w:val="30"/>
          <w:lang w:bidi="zh-CN"/>
        </w:rPr>
      </w:pPr>
      <w:r>
        <w:rPr>
          <w:rFonts w:hint="eastAsia" w:ascii="Times New Roman" w:hAnsi="Times New Roman" w:eastAsia="仿宋_GB2312" w:cs="仿宋"/>
          <w:kern w:val="0"/>
          <w:sz w:val="28"/>
          <w:szCs w:val="30"/>
          <w:lang w:bidi="zh-CN"/>
        </w:rPr>
        <w:t>表 4</w:t>
      </w:r>
      <w:r>
        <w:rPr>
          <w:rFonts w:hint="eastAsia" w:ascii="Times New Roman" w:hAnsi="Times New Roman" w:eastAsia="仿宋_GB2312" w:cs="仿宋"/>
          <w:kern w:val="0"/>
          <w:sz w:val="28"/>
          <w:szCs w:val="30"/>
          <w:lang w:bidi="zh-CN"/>
        </w:rPr>
        <w:tab/>
      </w:r>
      <w:r>
        <w:rPr>
          <w:rFonts w:hint="eastAsia" w:ascii="Times New Roman" w:hAnsi="Times New Roman" w:eastAsia="仿宋_GB2312" w:cs="仿宋"/>
          <w:kern w:val="0"/>
          <w:sz w:val="28"/>
          <w:szCs w:val="30"/>
          <w:lang w:bidi="zh-CN"/>
        </w:rPr>
        <w:t>已批准土地征收成片开发方案年度实施计划执行情况统计表</w:t>
      </w:r>
    </w:p>
    <w:p>
      <w:pPr>
        <w:widowControl/>
        <w:spacing w:line="360" w:lineRule="auto"/>
        <w:rPr>
          <w:rFonts w:ascii="Times New Roman" w:hAnsi="Times New Roman" w:eastAsia="仿宋_GB2312" w:cs="仿宋"/>
          <w:kern w:val="0"/>
          <w:sz w:val="28"/>
          <w:szCs w:val="30"/>
          <w:lang w:bidi="zh-CN"/>
        </w:rPr>
      </w:pPr>
      <w:r>
        <w:rPr>
          <w:rFonts w:hint="eastAsia" w:ascii="Times New Roman" w:hAnsi="Times New Roman" w:eastAsia="仿宋_GB2312" w:cs="仿宋"/>
          <w:kern w:val="0"/>
          <w:sz w:val="28"/>
          <w:szCs w:val="30"/>
          <w:lang w:bidi="zh-CN"/>
        </w:rPr>
        <w:t>表 5</w:t>
      </w:r>
      <w:r>
        <w:rPr>
          <w:rFonts w:hint="eastAsia" w:ascii="Times New Roman" w:hAnsi="Times New Roman" w:eastAsia="仿宋_GB2312" w:cs="仿宋"/>
          <w:kern w:val="0"/>
          <w:sz w:val="28"/>
          <w:szCs w:val="30"/>
          <w:lang w:bidi="zh-CN"/>
        </w:rPr>
        <w:tab/>
      </w:r>
      <w:r>
        <w:rPr>
          <w:rFonts w:hint="eastAsia" w:ascii="Times New Roman" w:hAnsi="Times New Roman" w:eastAsia="仿宋_GB2312" w:cs="仿宋"/>
          <w:kern w:val="0"/>
          <w:sz w:val="28"/>
          <w:szCs w:val="30"/>
          <w:lang w:bidi="zh-CN"/>
        </w:rPr>
        <w:t>以土地征收成片开发情形或承诺纳入土地征收成片开发基本信息表</w:t>
      </w:r>
    </w:p>
    <w:p>
      <w:pPr>
        <w:widowControl/>
        <w:jc w:val="left"/>
        <w:rPr>
          <w:rFonts w:ascii="Times New Roman" w:hAnsi="Times New Roman" w:eastAsia="仿宋_GB2312" w:cs="仿宋"/>
          <w:kern w:val="0"/>
          <w:sz w:val="30"/>
          <w:szCs w:val="30"/>
          <w:lang w:bidi="zh-CN"/>
        </w:rPr>
      </w:pPr>
      <w:r>
        <w:rPr>
          <w:rFonts w:ascii="Times New Roman" w:hAnsi="Times New Roman" w:eastAsia="仿宋_GB2312" w:cs="仿宋"/>
          <w:kern w:val="0"/>
          <w:sz w:val="30"/>
          <w:szCs w:val="30"/>
          <w:lang w:bidi="zh-CN"/>
        </w:rPr>
        <w:br w:type="page"/>
      </w:r>
    </w:p>
    <w:p>
      <w:pPr>
        <w:tabs>
          <w:tab w:val="left" w:pos="1051"/>
        </w:tabs>
        <w:spacing w:before="242"/>
        <w:ind w:right="478"/>
        <w:jc w:val="center"/>
        <w:rPr>
          <w:rFonts w:ascii="黑体" w:eastAsia="黑体"/>
          <w:sz w:val="28"/>
        </w:rPr>
      </w:pPr>
      <w:r>
        <w:rPr>
          <w:rFonts w:hint="eastAsia" w:ascii="黑体" w:eastAsia="黑体"/>
          <w:sz w:val="28"/>
        </w:rPr>
        <w:t>表</w:t>
      </w:r>
      <w:r>
        <w:rPr>
          <w:rFonts w:hint="eastAsia" w:ascii="黑体" w:eastAsia="黑体"/>
          <w:spacing w:val="-70"/>
          <w:sz w:val="28"/>
        </w:rPr>
        <w:t xml:space="preserve"> </w:t>
      </w:r>
      <w:r>
        <w:rPr>
          <w:rFonts w:hint="eastAsia" w:ascii="黑体" w:eastAsia="黑体"/>
          <w:sz w:val="28"/>
        </w:rPr>
        <w:t>1</w:t>
      </w:r>
      <w:r>
        <w:rPr>
          <w:rFonts w:hint="eastAsia" w:ascii="黑体" w:eastAsia="黑体"/>
          <w:sz w:val="28"/>
        </w:rPr>
        <w:tab/>
      </w:r>
      <w:r>
        <w:rPr>
          <w:rFonts w:hint="eastAsia" w:ascii="黑体" w:eastAsia="黑体"/>
          <w:sz w:val="28"/>
        </w:rPr>
        <w:t>拟申请土</w:t>
      </w:r>
      <w:r>
        <w:rPr>
          <w:rFonts w:hint="eastAsia" w:ascii="黑体" w:eastAsia="黑体"/>
          <w:spacing w:val="-3"/>
          <w:sz w:val="28"/>
        </w:rPr>
        <w:t>地</w:t>
      </w:r>
      <w:r>
        <w:rPr>
          <w:rFonts w:hint="eastAsia" w:ascii="黑体" w:eastAsia="黑体"/>
          <w:sz w:val="28"/>
        </w:rPr>
        <w:t>征收成</w:t>
      </w:r>
      <w:r>
        <w:rPr>
          <w:rFonts w:hint="eastAsia" w:ascii="黑体" w:eastAsia="黑体"/>
          <w:spacing w:val="-3"/>
          <w:sz w:val="28"/>
        </w:rPr>
        <w:t>片开发方案片区</w:t>
      </w:r>
      <w:r>
        <w:rPr>
          <w:rFonts w:hint="eastAsia" w:ascii="黑体" w:eastAsia="黑体"/>
          <w:sz w:val="28"/>
        </w:rPr>
        <w:t>情况汇总表</w:t>
      </w:r>
    </w:p>
    <w:p>
      <w:pPr>
        <w:jc w:val="center"/>
        <w:rPr>
          <w:rFonts w:ascii="黑体" w:eastAsia="黑体"/>
          <w:sz w:val="28"/>
        </w:rPr>
        <w:sectPr>
          <w:pgSz w:w="11910" w:h="16840"/>
          <w:pgMar w:top="1440" w:right="1800" w:bottom="1440" w:left="1800" w:header="0" w:footer="1158" w:gutter="0"/>
          <w:cols w:space="720" w:num="1"/>
          <w:docGrid w:linePitch="286" w:charSpace="0"/>
        </w:sectPr>
      </w:pPr>
    </w:p>
    <w:p>
      <w:pPr>
        <w:pStyle w:val="7"/>
        <w:rPr>
          <w:rFonts w:ascii="黑体"/>
          <w:sz w:val="18"/>
        </w:rPr>
      </w:pPr>
    </w:p>
    <w:p>
      <w:pPr>
        <w:pStyle w:val="7"/>
        <w:spacing w:before="8"/>
        <w:rPr>
          <w:rFonts w:ascii="黑体"/>
          <w:sz w:val="19"/>
        </w:rPr>
      </w:pPr>
    </w:p>
    <w:tbl>
      <w:tblPr>
        <w:tblStyle w:val="15"/>
        <w:tblpPr w:leftFromText="180" w:rightFromText="180" w:vertAnchor="page" w:horzAnchor="margin" w:tblpY="2279"/>
        <w:tblOverlap w:val="never"/>
        <w:tblW w:w="9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599"/>
        <w:gridCol w:w="1095"/>
        <w:gridCol w:w="1074"/>
        <w:gridCol w:w="898"/>
        <w:gridCol w:w="996"/>
        <w:gridCol w:w="936"/>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trPr>
        <w:tc>
          <w:tcPr>
            <w:tcW w:w="2104" w:type="dxa"/>
            <w:vMerge w:val="restart"/>
            <w:vAlign w:val="center"/>
          </w:tcPr>
          <w:p>
            <w:pPr>
              <w:pStyle w:val="7"/>
              <w:jc w:val="center"/>
              <w:rPr>
                <w:rFonts w:ascii="宋体" w:hAnsi="宋体" w:eastAsia="宋体" w:cs="宋体"/>
                <w:b/>
                <w:bCs/>
                <w:sz w:val="18"/>
                <w:szCs w:val="18"/>
                <w:lang w:val="en-US"/>
              </w:rPr>
            </w:pPr>
            <w:r>
              <w:rPr>
                <w:rFonts w:hint="eastAsia" w:ascii="宋体" w:hAnsi="宋体" w:eastAsia="宋体" w:cs="宋体"/>
                <w:b/>
                <w:bCs/>
                <w:sz w:val="18"/>
                <w:szCs w:val="18"/>
                <w:lang w:val="en-US"/>
              </w:rPr>
              <w:t>开发片区编号</w:t>
            </w:r>
          </w:p>
        </w:tc>
        <w:tc>
          <w:tcPr>
            <w:tcW w:w="1599" w:type="dxa"/>
            <w:vMerge w:val="restart"/>
            <w:vAlign w:val="center"/>
          </w:tcPr>
          <w:p>
            <w:pPr>
              <w:pStyle w:val="7"/>
              <w:jc w:val="center"/>
              <w:rPr>
                <w:rFonts w:ascii="宋体" w:hAnsi="宋体" w:eastAsia="宋体" w:cs="宋体"/>
                <w:b/>
                <w:bCs/>
                <w:sz w:val="18"/>
                <w:szCs w:val="18"/>
                <w:lang w:val="en-US"/>
              </w:rPr>
            </w:pPr>
            <w:r>
              <w:rPr>
                <w:rFonts w:hint="eastAsia" w:ascii="宋体" w:hAnsi="宋体" w:eastAsia="宋体" w:cs="宋体"/>
                <w:b/>
                <w:bCs/>
                <w:sz w:val="18"/>
                <w:szCs w:val="18"/>
                <w:lang w:val="en-US"/>
              </w:rPr>
              <w:t>开发片区名称</w:t>
            </w:r>
          </w:p>
        </w:tc>
        <w:tc>
          <w:tcPr>
            <w:tcW w:w="1095" w:type="dxa"/>
            <w:vMerge w:val="restart"/>
            <w:vAlign w:val="center"/>
          </w:tcPr>
          <w:p>
            <w:pPr>
              <w:pStyle w:val="7"/>
              <w:jc w:val="center"/>
              <w:rPr>
                <w:rFonts w:ascii="宋体" w:hAnsi="宋体" w:eastAsia="宋体" w:cs="宋体"/>
                <w:b/>
                <w:bCs/>
                <w:sz w:val="18"/>
                <w:szCs w:val="18"/>
                <w:lang w:val="en-US"/>
              </w:rPr>
            </w:pPr>
            <w:r>
              <w:rPr>
                <w:rFonts w:hint="eastAsia" w:ascii="宋体" w:hAnsi="宋体" w:eastAsia="宋体" w:cs="宋体"/>
                <w:b/>
                <w:bCs/>
                <w:sz w:val="18"/>
                <w:szCs w:val="18"/>
                <w:lang w:val="en-US"/>
              </w:rPr>
              <w:t>所在乡（镇、街道）或园区名称</w:t>
            </w:r>
          </w:p>
        </w:tc>
        <w:tc>
          <w:tcPr>
            <w:tcW w:w="1074" w:type="dxa"/>
            <w:vMerge w:val="restart"/>
            <w:vAlign w:val="center"/>
          </w:tcPr>
          <w:p>
            <w:pPr>
              <w:pStyle w:val="7"/>
              <w:jc w:val="center"/>
              <w:rPr>
                <w:rFonts w:ascii="宋体" w:hAnsi="宋体" w:eastAsia="宋体" w:cs="宋体"/>
                <w:b/>
                <w:bCs/>
                <w:sz w:val="18"/>
                <w:szCs w:val="18"/>
                <w:lang w:val="en-US"/>
              </w:rPr>
            </w:pPr>
            <w:r>
              <w:rPr>
                <w:rFonts w:hint="eastAsia" w:ascii="宋体" w:hAnsi="宋体" w:eastAsia="宋体" w:cs="宋体"/>
                <w:b/>
                <w:bCs/>
                <w:sz w:val="18"/>
                <w:szCs w:val="18"/>
                <w:lang w:val="en-US"/>
              </w:rPr>
              <w:t>功能定位和主要用途</w:t>
            </w:r>
          </w:p>
        </w:tc>
        <w:tc>
          <w:tcPr>
            <w:tcW w:w="898" w:type="dxa"/>
            <w:vMerge w:val="restart"/>
            <w:tcBorders>
              <w:right w:val="nil"/>
            </w:tcBorders>
            <w:vAlign w:val="center"/>
          </w:tcPr>
          <w:p>
            <w:pPr>
              <w:pStyle w:val="7"/>
              <w:jc w:val="center"/>
              <w:rPr>
                <w:rFonts w:ascii="宋体" w:hAnsi="宋体" w:eastAsia="宋体" w:cs="宋体"/>
                <w:b/>
                <w:bCs/>
                <w:sz w:val="18"/>
                <w:szCs w:val="18"/>
                <w:lang w:val="en-US"/>
              </w:rPr>
            </w:pPr>
            <w:r>
              <w:rPr>
                <w:rFonts w:hint="eastAsia" w:ascii="宋体" w:hAnsi="宋体" w:eastAsia="宋体" w:cs="宋体"/>
                <w:b/>
                <w:bCs/>
                <w:sz w:val="18"/>
                <w:szCs w:val="18"/>
                <w:lang w:val="en-US"/>
              </w:rPr>
              <w:t>土地总面积</w:t>
            </w:r>
          </w:p>
        </w:tc>
        <w:tc>
          <w:tcPr>
            <w:tcW w:w="996" w:type="dxa"/>
            <w:tcBorders>
              <w:left w:val="nil"/>
            </w:tcBorders>
            <w:vAlign w:val="center"/>
          </w:tcPr>
          <w:p>
            <w:pPr>
              <w:pStyle w:val="7"/>
              <w:jc w:val="center"/>
              <w:rPr>
                <w:rFonts w:ascii="宋体" w:hAnsi="宋体" w:eastAsia="宋体" w:cs="宋体"/>
                <w:b/>
                <w:bCs/>
                <w:sz w:val="18"/>
                <w:szCs w:val="18"/>
                <w:lang w:val="en-US"/>
              </w:rPr>
            </w:pPr>
          </w:p>
        </w:tc>
        <w:tc>
          <w:tcPr>
            <w:tcW w:w="936" w:type="dxa"/>
            <w:vMerge w:val="restart"/>
            <w:vAlign w:val="center"/>
          </w:tcPr>
          <w:p>
            <w:pPr>
              <w:pStyle w:val="7"/>
              <w:jc w:val="center"/>
              <w:rPr>
                <w:rFonts w:ascii="宋体" w:hAnsi="宋体" w:eastAsia="宋体" w:cs="宋体"/>
                <w:b/>
                <w:bCs/>
                <w:sz w:val="18"/>
                <w:szCs w:val="18"/>
                <w:lang w:val="en-US"/>
              </w:rPr>
            </w:pPr>
            <w:r>
              <w:rPr>
                <w:rFonts w:hint="eastAsia" w:ascii="宋体" w:hAnsi="宋体" w:eastAsia="宋体" w:cs="宋体"/>
                <w:b/>
                <w:bCs/>
                <w:sz w:val="18"/>
                <w:szCs w:val="18"/>
                <w:lang w:val="en-US"/>
              </w:rPr>
              <w:t>拟征收农民集体土地面积</w:t>
            </w:r>
          </w:p>
        </w:tc>
        <w:tc>
          <w:tcPr>
            <w:tcW w:w="844" w:type="dxa"/>
            <w:vMerge w:val="restart"/>
            <w:vAlign w:val="center"/>
          </w:tcPr>
          <w:p>
            <w:pPr>
              <w:pStyle w:val="7"/>
              <w:jc w:val="center"/>
              <w:rPr>
                <w:rFonts w:ascii="宋体" w:hAnsi="宋体" w:eastAsia="宋体" w:cs="宋体"/>
                <w:b/>
                <w:bCs/>
                <w:sz w:val="18"/>
                <w:szCs w:val="18"/>
                <w:lang w:val="en-US"/>
              </w:rPr>
            </w:pPr>
            <w:r>
              <w:rPr>
                <w:rFonts w:hint="eastAsia" w:ascii="宋体" w:hAnsi="宋体" w:eastAsia="宋体" w:cs="宋体"/>
                <w:b/>
                <w:bCs/>
                <w:sz w:val="18"/>
                <w:szCs w:val="18"/>
                <w:lang w:val="en-US"/>
              </w:rPr>
              <w:t>公益性用地比例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trPr>
        <w:tc>
          <w:tcPr>
            <w:tcW w:w="2104" w:type="dxa"/>
            <w:vMerge w:val="continue"/>
            <w:vAlign w:val="center"/>
          </w:tcPr>
          <w:p>
            <w:pPr>
              <w:pStyle w:val="7"/>
              <w:jc w:val="center"/>
              <w:rPr>
                <w:rFonts w:ascii="宋体" w:hAnsi="宋体" w:eastAsia="宋体" w:cs="宋体"/>
                <w:sz w:val="18"/>
                <w:szCs w:val="18"/>
              </w:rPr>
            </w:pPr>
          </w:p>
        </w:tc>
        <w:tc>
          <w:tcPr>
            <w:tcW w:w="1599" w:type="dxa"/>
            <w:vMerge w:val="continue"/>
            <w:vAlign w:val="center"/>
          </w:tcPr>
          <w:p>
            <w:pPr>
              <w:pStyle w:val="7"/>
              <w:jc w:val="center"/>
              <w:rPr>
                <w:rFonts w:ascii="宋体" w:hAnsi="宋体" w:eastAsia="宋体" w:cs="宋体"/>
                <w:sz w:val="18"/>
                <w:szCs w:val="18"/>
              </w:rPr>
            </w:pPr>
          </w:p>
        </w:tc>
        <w:tc>
          <w:tcPr>
            <w:tcW w:w="1095" w:type="dxa"/>
            <w:vMerge w:val="continue"/>
            <w:vAlign w:val="center"/>
          </w:tcPr>
          <w:p>
            <w:pPr>
              <w:pStyle w:val="7"/>
              <w:jc w:val="center"/>
              <w:rPr>
                <w:rFonts w:ascii="宋体" w:hAnsi="宋体" w:eastAsia="宋体" w:cs="宋体"/>
                <w:sz w:val="18"/>
                <w:szCs w:val="18"/>
              </w:rPr>
            </w:pPr>
          </w:p>
        </w:tc>
        <w:tc>
          <w:tcPr>
            <w:tcW w:w="1074" w:type="dxa"/>
            <w:vMerge w:val="continue"/>
            <w:vAlign w:val="center"/>
          </w:tcPr>
          <w:p>
            <w:pPr>
              <w:pStyle w:val="7"/>
              <w:jc w:val="center"/>
              <w:rPr>
                <w:rFonts w:ascii="宋体" w:hAnsi="宋体" w:eastAsia="宋体" w:cs="宋体"/>
                <w:sz w:val="18"/>
                <w:szCs w:val="18"/>
              </w:rPr>
            </w:pPr>
          </w:p>
        </w:tc>
        <w:tc>
          <w:tcPr>
            <w:tcW w:w="898" w:type="dxa"/>
            <w:vMerge w:val="continue"/>
            <w:vAlign w:val="center"/>
          </w:tcPr>
          <w:p>
            <w:pPr>
              <w:pStyle w:val="7"/>
              <w:jc w:val="center"/>
              <w:rPr>
                <w:rFonts w:ascii="宋体" w:hAnsi="宋体" w:eastAsia="宋体" w:cs="宋体"/>
                <w:sz w:val="18"/>
                <w:szCs w:val="18"/>
              </w:rPr>
            </w:pPr>
          </w:p>
        </w:tc>
        <w:tc>
          <w:tcPr>
            <w:tcW w:w="996" w:type="dxa"/>
            <w:vAlign w:val="center"/>
          </w:tcPr>
          <w:p>
            <w:pPr>
              <w:pStyle w:val="7"/>
              <w:jc w:val="center"/>
              <w:rPr>
                <w:rFonts w:ascii="宋体" w:hAnsi="宋体" w:eastAsia="宋体" w:cs="宋体"/>
                <w:sz w:val="18"/>
                <w:szCs w:val="18"/>
                <w:lang w:val="en-US"/>
              </w:rPr>
            </w:pPr>
            <w:r>
              <w:rPr>
                <w:rFonts w:hint="eastAsia" w:ascii="宋体" w:hAnsi="宋体" w:eastAsia="宋体" w:cs="宋体"/>
                <w:b/>
                <w:bCs/>
                <w:sz w:val="18"/>
                <w:szCs w:val="18"/>
                <w:lang w:val="en-US"/>
              </w:rPr>
              <w:t>其中耕地面积</w:t>
            </w:r>
          </w:p>
        </w:tc>
        <w:tc>
          <w:tcPr>
            <w:tcW w:w="936" w:type="dxa"/>
            <w:vMerge w:val="continue"/>
            <w:vAlign w:val="center"/>
          </w:tcPr>
          <w:p>
            <w:pPr>
              <w:pStyle w:val="7"/>
              <w:jc w:val="center"/>
              <w:rPr>
                <w:rFonts w:ascii="宋体" w:hAnsi="宋体" w:eastAsia="宋体" w:cs="宋体"/>
                <w:sz w:val="18"/>
                <w:szCs w:val="18"/>
                <w:lang w:val="en-US"/>
              </w:rPr>
            </w:pPr>
          </w:p>
        </w:tc>
        <w:tc>
          <w:tcPr>
            <w:tcW w:w="844" w:type="dxa"/>
            <w:vMerge w:val="continue"/>
            <w:vAlign w:val="center"/>
          </w:tcPr>
          <w:p>
            <w:pPr>
              <w:pStyle w:val="7"/>
              <w:jc w:val="center"/>
              <w:rPr>
                <w:rFonts w:ascii="宋体" w:hAnsi="宋体" w:eastAsia="宋体" w:cs="宋体"/>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CP330212-2021-11</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鄞州下应洋江水岸北侧片区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下应街道</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生态居住</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10.0417</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0.2780</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0.0596</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CP330212-2021-12</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鄞州中医院西侧片区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下应街道</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生态居住</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8.3946</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5.0397</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0.5232</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CP330212-2021-15</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鄞州轨道交通3号线姜山站北片区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姜山镇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产城融合型特色工业及居住配套</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27.4600</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4.8560</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8.4675</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CP330212-2021-16</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鄞州姜山镇狮山公园西南片区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姜山镇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生态居住；居住</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42.6041</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18.8984</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17.2643</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52.45%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CP330212-2021-17</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鄞州姜山未来社区片区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姜山镇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生态居住；居住、商业</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22.8224</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0.0000</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5.4097</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CP330212-2021-18</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鄞州姜山朝阳1号工业片区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云龙镇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产业平台；工矿用地</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20.4544</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13.5066</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18.8505</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25.67%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CP330212-2021-19</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鄞州云龙镇核心片区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横溪镇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居住、商业、公共管理和公共服务</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28.9254</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0.0000</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4.8985</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50.54%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CP330212-2021-21</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鄞州横溪片区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五乡镇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居住、商业、公共服务</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65.6988</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12.2623</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33.8326</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CP330212-2021-22</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鄞州龙汇未来社区片区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五乡镇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生态居住；居住、商业</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51.0501</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1.1613</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19.2142</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CP330212-2021-23</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鄞州李家洋片区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东吴镇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生态居住、城市休闲及先进制造业；居住、商业、工业</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110.0724</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55.1093</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89.9545</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CP330212-2021-26</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鄞州东吴镇DW01-02-11a片区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瞻岐镇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高品质住区、产业发展基地；工矿</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1.2241</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0.0000</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1.1303</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28.62%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104"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CP330212-2021-28</w:t>
            </w:r>
          </w:p>
        </w:tc>
        <w:tc>
          <w:tcPr>
            <w:tcW w:w="1599"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鄞州区JK01-03-b4、c2片区</w:t>
            </w:r>
          </w:p>
        </w:tc>
        <w:tc>
          <w:tcPr>
            <w:tcW w:w="1095" w:type="dxa"/>
            <w:vAlign w:val="center"/>
          </w:tcPr>
          <w:p>
            <w:pPr>
              <w:widowControl/>
              <w:jc w:val="center"/>
              <w:rPr>
                <w:rFonts w:ascii="Times New Roman" w:hAnsi="Times New Roman" w:eastAsia="仿宋_GB2312" w:cs="仿宋"/>
                <w:kern w:val="0"/>
                <w:szCs w:val="21"/>
                <w:lang w:bidi="zh-CN"/>
              </w:rPr>
            </w:pPr>
            <w:r>
              <w:rPr>
                <w:rFonts w:hint="eastAsia" w:ascii="Times New Roman" w:hAnsi="Times New Roman" w:eastAsia="仿宋_GB2312" w:cs="仿宋"/>
                <w:kern w:val="0"/>
                <w:szCs w:val="21"/>
                <w:lang w:bidi="zh-CN"/>
              </w:rPr>
              <w:t>瞻岐镇</w:t>
            </w:r>
          </w:p>
        </w:tc>
        <w:tc>
          <w:tcPr>
            <w:tcW w:w="1074" w:type="dxa"/>
            <w:vAlign w:val="center"/>
          </w:tcPr>
          <w:p>
            <w:pPr>
              <w:widowControl/>
              <w:jc w:val="center"/>
              <w:rPr>
                <w:rFonts w:ascii="Times New Roman" w:hAnsi="Times New Roman" w:eastAsia="仿宋_GB2312" w:cs="仿宋"/>
                <w:kern w:val="0"/>
                <w:sz w:val="18"/>
                <w:szCs w:val="18"/>
                <w:lang w:bidi="zh-CN"/>
              </w:rPr>
            </w:pPr>
            <w:r>
              <w:rPr>
                <w:rFonts w:hint="eastAsia" w:ascii="Times New Roman" w:hAnsi="Times New Roman" w:eastAsia="仿宋_GB2312" w:cs="仿宋"/>
                <w:kern w:val="0"/>
                <w:sz w:val="18"/>
                <w:szCs w:val="18"/>
                <w:lang w:bidi="zh-CN"/>
              </w:rPr>
              <w:t>生活配套；居住、商业</w:t>
            </w:r>
          </w:p>
        </w:tc>
        <w:tc>
          <w:tcPr>
            <w:tcW w:w="898"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11.4145</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4.0108</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0.2662</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5872" w:type="dxa"/>
            <w:gridSpan w:val="4"/>
            <w:vAlign w:val="center"/>
          </w:tcPr>
          <w:p>
            <w:pPr>
              <w:pStyle w:val="7"/>
              <w:jc w:val="center"/>
              <w:rPr>
                <w:rFonts w:ascii="宋体" w:hAnsi="宋体" w:eastAsia="宋体" w:cs="宋体"/>
                <w:sz w:val="16"/>
                <w:szCs w:val="16"/>
              </w:rPr>
            </w:pPr>
            <w:r>
              <w:rPr>
                <w:rFonts w:hint="eastAsia" w:ascii="宋体" w:hAnsi="宋体" w:eastAsia="宋体" w:cs="宋体"/>
                <w:sz w:val="16"/>
                <w:szCs w:val="16"/>
                <w:lang w:val="en-US"/>
              </w:rPr>
              <w:t>合计</w:t>
            </w:r>
          </w:p>
        </w:tc>
        <w:tc>
          <w:tcPr>
            <w:tcW w:w="898" w:type="dxa"/>
            <w:vAlign w:val="center"/>
          </w:tcPr>
          <w:p>
            <w:pPr>
              <w:jc w:val="center"/>
              <w:rPr>
                <w:rFonts w:asciiTheme="minorEastAsia" w:hAnsiTheme="minorEastAsia"/>
                <w:sz w:val="16"/>
                <w:szCs w:val="16"/>
              </w:rPr>
            </w:pPr>
            <w:r>
              <w:rPr>
                <w:rFonts w:hint="eastAsia" w:asciiTheme="minorEastAsia" w:hAnsiTheme="minorEastAsia"/>
                <w:sz w:val="16"/>
                <w:szCs w:val="16"/>
              </w:rPr>
              <w:t>400.1625</w:t>
            </w:r>
          </w:p>
        </w:tc>
        <w:tc>
          <w:tcPr>
            <w:tcW w:w="99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115.1224</w:t>
            </w:r>
          </w:p>
        </w:tc>
        <w:tc>
          <w:tcPr>
            <w:tcW w:w="936"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199.8711</w:t>
            </w:r>
          </w:p>
        </w:tc>
        <w:tc>
          <w:tcPr>
            <w:tcW w:w="844" w:type="dxa"/>
            <w:vAlign w:val="center"/>
          </w:tcPr>
          <w:p>
            <w:pPr>
              <w:widowControl/>
              <w:jc w:val="center"/>
              <w:rPr>
                <w:rFonts w:ascii="仿宋" w:hAnsi="仿宋" w:eastAsia="仿宋" w:cs="仿宋"/>
                <w:kern w:val="0"/>
                <w:sz w:val="18"/>
                <w:szCs w:val="18"/>
                <w:lang w:bidi="zh-CN"/>
              </w:rPr>
            </w:pPr>
            <w:r>
              <w:rPr>
                <w:rFonts w:hint="eastAsia" w:ascii="仿宋" w:hAnsi="仿宋" w:eastAsia="仿宋" w:cs="仿宋"/>
                <w:kern w:val="0"/>
                <w:sz w:val="18"/>
                <w:szCs w:val="18"/>
                <w:lang w:bidi="zh-CN"/>
              </w:rPr>
              <w:t>41.35%</w:t>
            </w:r>
          </w:p>
        </w:tc>
      </w:tr>
    </w:tbl>
    <w:p>
      <w:pPr>
        <w:spacing w:before="171"/>
        <w:ind w:left="254"/>
        <w:rPr>
          <w:rFonts w:ascii="宋体" w:eastAsia="宋体"/>
          <w:sz w:val="18"/>
        </w:rPr>
      </w:pPr>
      <w:r>
        <w:br w:type="column"/>
      </w:r>
      <w:r>
        <w:rPr>
          <w:rFonts w:hint="eastAsia" w:ascii="宋体" w:eastAsia="宋体"/>
          <w:sz w:val="18"/>
        </w:rPr>
        <w:t>单位：公顷（</w:t>
      </w:r>
      <w:r>
        <w:rPr>
          <w:rFonts w:ascii="Times New Roman" w:eastAsia="Times New Roman"/>
          <w:sz w:val="18"/>
        </w:rPr>
        <w:t>0.0000</w:t>
      </w:r>
      <w:r>
        <w:rPr>
          <w:rFonts w:hint="eastAsia" w:ascii="宋体" w:eastAsia="宋体"/>
          <w:sz w:val="18"/>
        </w:rPr>
        <w:t>）、</w:t>
      </w:r>
      <w:r>
        <w:rPr>
          <w:rFonts w:ascii="Times New Roman" w:eastAsia="Times New Roman"/>
          <w:sz w:val="18"/>
        </w:rPr>
        <w:t>%</w:t>
      </w:r>
      <w:r>
        <w:rPr>
          <w:rFonts w:hint="eastAsia" w:ascii="宋体" w:eastAsia="宋体"/>
          <w:sz w:val="18"/>
        </w:rPr>
        <w:t>（</w:t>
      </w:r>
      <w:r>
        <w:rPr>
          <w:rFonts w:ascii="Times New Roman" w:eastAsia="Times New Roman"/>
          <w:sz w:val="18"/>
        </w:rPr>
        <w:t>0.00</w:t>
      </w:r>
      <w:r>
        <w:rPr>
          <w:rFonts w:hint="eastAsia" w:ascii="宋体" w:eastAsia="宋体"/>
          <w:sz w:val="18"/>
        </w:rPr>
        <w:t>）</w:t>
      </w:r>
    </w:p>
    <w:p>
      <w:pPr>
        <w:rPr>
          <w:rFonts w:ascii="宋体" w:eastAsia="宋体"/>
          <w:sz w:val="18"/>
        </w:rPr>
        <w:sectPr>
          <w:type w:val="continuous"/>
          <w:pgSz w:w="11910" w:h="16840"/>
          <w:pgMar w:top="1580" w:right="680" w:bottom="280" w:left="1220" w:header="720" w:footer="720" w:gutter="0"/>
          <w:cols w:equalWidth="0" w:num="2">
            <w:col w:w="1735" w:space="4341"/>
            <w:col w:w="3934"/>
          </w:cols>
        </w:sectPr>
      </w:pPr>
    </w:p>
    <w:p>
      <w:pPr>
        <w:pStyle w:val="7"/>
        <w:spacing w:before="2"/>
        <w:rPr>
          <w:rFonts w:ascii="宋体"/>
          <w:sz w:val="3"/>
        </w:rPr>
      </w:pPr>
    </w:p>
    <w:p>
      <w:pPr>
        <w:pStyle w:val="7"/>
        <w:rPr>
          <w:rFonts w:ascii="宋体"/>
          <w:sz w:val="20"/>
        </w:rPr>
      </w:pPr>
    </w:p>
    <w:p>
      <w:pPr>
        <w:tabs>
          <w:tab w:val="left" w:pos="1051"/>
        </w:tabs>
        <w:spacing w:before="242"/>
        <w:ind w:right="478"/>
        <w:jc w:val="center"/>
        <w:rPr>
          <w:rFonts w:ascii="黑体" w:eastAsia="黑体"/>
          <w:sz w:val="28"/>
        </w:rPr>
      </w:pPr>
      <w:r>
        <w:rPr>
          <w:rFonts w:hint="eastAsia" w:ascii="黑体" w:eastAsia="黑体"/>
          <w:sz w:val="28"/>
        </w:rPr>
        <w:t>表</w:t>
      </w:r>
      <w:r>
        <w:rPr>
          <w:rFonts w:hint="eastAsia" w:ascii="黑体" w:eastAsia="黑体"/>
          <w:spacing w:val="-70"/>
          <w:sz w:val="28"/>
        </w:rPr>
        <w:t xml:space="preserve"> </w:t>
      </w:r>
      <w:r>
        <w:rPr>
          <w:rFonts w:hint="eastAsia" w:ascii="黑体" w:eastAsia="黑体"/>
          <w:sz w:val="28"/>
        </w:rPr>
        <w:t>2</w:t>
      </w:r>
      <w:r>
        <w:rPr>
          <w:rFonts w:hint="eastAsia" w:ascii="黑体" w:eastAsia="黑体"/>
          <w:sz w:val="28"/>
        </w:rPr>
        <w:tab/>
      </w:r>
      <w:r>
        <w:rPr>
          <w:rFonts w:hint="eastAsia" w:ascii="黑体" w:eastAsia="黑体"/>
          <w:sz w:val="28"/>
        </w:rPr>
        <w:t>拟申</w:t>
      </w:r>
      <w:r>
        <w:rPr>
          <w:rFonts w:hint="eastAsia" w:ascii="黑体" w:eastAsia="黑体"/>
          <w:spacing w:val="-3"/>
          <w:sz w:val="28"/>
        </w:rPr>
        <w:t>请</w:t>
      </w:r>
      <w:r>
        <w:rPr>
          <w:rFonts w:hint="eastAsia" w:ascii="黑体" w:eastAsia="黑体"/>
          <w:sz w:val="28"/>
        </w:rPr>
        <w:t>土</w:t>
      </w:r>
      <w:r>
        <w:rPr>
          <w:rFonts w:hint="eastAsia" w:ascii="黑体" w:eastAsia="黑体"/>
          <w:spacing w:val="-3"/>
          <w:sz w:val="28"/>
        </w:rPr>
        <w:t>地</w:t>
      </w:r>
      <w:r>
        <w:rPr>
          <w:rFonts w:hint="eastAsia" w:ascii="黑体" w:eastAsia="黑体"/>
          <w:sz w:val="28"/>
        </w:rPr>
        <w:t>征收成</w:t>
      </w:r>
      <w:r>
        <w:rPr>
          <w:rFonts w:hint="eastAsia" w:ascii="黑体" w:eastAsia="黑体"/>
          <w:spacing w:val="-3"/>
          <w:sz w:val="28"/>
        </w:rPr>
        <w:t>片</w:t>
      </w:r>
      <w:r>
        <w:rPr>
          <w:rFonts w:hint="eastAsia" w:ascii="黑体" w:eastAsia="黑体"/>
          <w:sz w:val="28"/>
        </w:rPr>
        <w:t>开发方案</w:t>
      </w:r>
      <w:r>
        <w:rPr>
          <w:rFonts w:hint="eastAsia" w:ascii="黑体" w:eastAsia="黑体"/>
          <w:spacing w:val="-3"/>
          <w:sz w:val="28"/>
        </w:rPr>
        <w:t>基</w:t>
      </w:r>
      <w:r>
        <w:rPr>
          <w:rFonts w:hint="eastAsia" w:ascii="黑体" w:eastAsia="黑体"/>
          <w:sz w:val="28"/>
        </w:rPr>
        <w:t>本信息表</w:t>
      </w:r>
    </w:p>
    <w:p>
      <w:pPr>
        <w:jc w:val="center"/>
        <w:rPr>
          <w:rFonts w:ascii="黑体" w:eastAsia="黑体"/>
          <w:sz w:val="28"/>
        </w:rPr>
      </w:pPr>
    </w:p>
    <w:p>
      <w:pPr>
        <w:jc w:val="right"/>
        <w:rPr>
          <w:rFonts w:ascii="黑体" w:eastAsia="黑体"/>
          <w:sz w:val="28"/>
        </w:rPr>
        <w:sectPr>
          <w:pgSz w:w="11910" w:h="16840"/>
          <w:pgMar w:top="1440" w:right="1800" w:bottom="1440" w:left="1800" w:header="0" w:footer="1158" w:gutter="0"/>
          <w:cols w:space="720" w:num="1"/>
          <w:docGrid w:linePitch="286" w:charSpace="0"/>
        </w:sectPr>
      </w:pPr>
      <w:r>
        <w:rPr>
          <w:rFonts w:hint="eastAsia" w:ascii="宋体" w:eastAsia="宋体"/>
          <w:sz w:val="18"/>
        </w:rPr>
        <w:t>单位：公顷（</w:t>
      </w:r>
      <w:r>
        <w:rPr>
          <w:rFonts w:ascii="Times New Roman" w:eastAsia="Times New Roman"/>
          <w:sz w:val="18"/>
        </w:rPr>
        <w:t>0.0000</w:t>
      </w:r>
      <w:r>
        <w:rPr>
          <w:rFonts w:hint="eastAsia" w:ascii="宋体" w:eastAsia="宋体"/>
          <w:sz w:val="18"/>
        </w:rPr>
        <w:t>）、</w:t>
      </w:r>
      <w:r>
        <w:rPr>
          <w:rFonts w:ascii="Times New Roman" w:eastAsia="Times New Roman"/>
          <w:sz w:val="18"/>
        </w:rPr>
        <w:t>%</w:t>
      </w:r>
      <w:r>
        <w:rPr>
          <w:rFonts w:hint="eastAsia" w:ascii="宋体" w:eastAsia="宋体"/>
          <w:sz w:val="18"/>
        </w:rPr>
        <w:t>（</w:t>
      </w:r>
      <w:r>
        <w:rPr>
          <w:rFonts w:ascii="Times New Roman" w:eastAsia="Times New Roman"/>
          <w:sz w:val="18"/>
        </w:rPr>
        <w:t>0.00</w:t>
      </w:r>
      <w:r>
        <w:rPr>
          <w:rFonts w:hint="eastAsia" w:ascii="宋体" w:eastAsia="宋体"/>
          <w:sz w:val="18"/>
        </w:rPr>
        <w:t>）、个</w:t>
      </w:r>
    </w:p>
    <w:p>
      <w:pPr>
        <w:rPr>
          <w:rFonts w:ascii="宋体" w:eastAsia="宋体"/>
          <w:sz w:val="18"/>
        </w:rPr>
      </w:pPr>
    </w:p>
    <w:tbl>
      <w:tblPr>
        <w:tblStyle w:val="14"/>
        <w:tblpPr w:leftFromText="180" w:rightFromText="180" w:vertAnchor="page" w:horzAnchor="page" w:tblpX="1377" w:tblpY="3115"/>
        <w:tblOverlap w:val="never"/>
        <w:tblW w:w="92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49"/>
        <w:gridCol w:w="354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49" w:type="dxa"/>
            <w:vAlign w:val="center"/>
          </w:tcPr>
          <w:p>
            <w:pPr>
              <w:pStyle w:val="19"/>
              <w:spacing w:before="83"/>
              <w:jc w:val="center"/>
              <w:rPr>
                <w:rFonts w:ascii="黑体" w:eastAsia="黑体"/>
                <w:sz w:val="18"/>
              </w:rPr>
            </w:pPr>
            <w:r>
              <w:rPr>
                <w:rFonts w:hint="eastAsia" w:ascii="黑体" w:eastAsia="黑体"/>
                <w:sz w:val="18"/>
              </w:rPr>
              <w:t>项目</w:t>
            </w:r>
          </w:p>
        </w:tc>
        <w:tc>
          <w:tcPr>
            <w:tcW w:w="3544" w:type="dxa"/>
            <w:vAlign w:val="center"/>
          </w:tcPr>
          <w:p>
            <w:pPr>
              <w:pStyle w:val="19"/>
              <w:spacing w:before="83"/>
              <w:ind w:left="1359" w:right="1350"/>
              <w:jc w:val="center"/>
              <w:rPr>
                <w:rFonts w:ascii="黑体" w:eastAsia="黑体"/>
                <w:sz w:val="18"/>
              </w:rPr>
            </w:pPr>
            <w:r>
              <w:rPr>
                <w:rFonts w:hint="eastAsia" w:ascii="黑体" w:eastAsia="黑体"/>
                <w:sz w:val="18"/>
              </w:rPr>
              <w:t>内容</w:t>
            </w:r>
          </w:p>
        </w:tc>
        <w:tc>
          <w:tcPr>
            <w:tcW w:w="2126" w:type="dxa"/>
            <w:vAlign w:val="center"/>
          </w:tcPr>
          <w:p>
            <w:pPr>
              <w:pStyle w:val="19"/>
              <w:spacing w:before="83"/>
              <w:ind w:left="477" w:right="466"/>
              <w:jc w:val="center"/>
              <w:rPr>
                <w:rFonts w:ascii="黑体" w:eastAsia="黑体"/>
                <w:sz w:val="18"/>
              </w:rPr>
            </w:pPr>
            <w:r>
              <w:rPr>
                <w:rFonts w:hint="eastAsia" w:ascii="黑体" w:eastAsia="黑体"/>
                <w:sz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49" w:type="dxa"/>
          </w:tcPr>
          <w:p>
            <w:pPr>
              <w:pStyle w:val="19"/>
              <w:spacing w:before="86"/>
              <w:ind w:left="107"/>
              <w:jc w:val="left"/>
              <w:rPr>
                <w:sz w:val="18"/>
              </w:rPr>
            </w:pPr>
            <w:r>
              <w:rPr>
                <w:sz w:val="18"/>
              </w:rPr>
              <w:t>方案编号</w:t>
            </w:r>
          </w:p>
        </w:tc>
        <w:tc>
          <w:tcPr>
            <w:tcW w:w="3544" w:type="dxa"/>
            <w:vAlign w:val="center"/>
          </w:tcPr>
          <w:p>
            <w:pPr>
              <w:jc w:val="center"/>
              <w:rPr>
                <w:rFonts w:ascii="Times New Roman" w:hAnsi="宋体" w:eastAsia="宋体" w:cs="宋体"/>
                <w:sz w:val="18"/>
              </w:rPr>
            </w:pPr>
            <w:r>
              <w:rPr>
                <w:rFonts w:ascii="Times New Roman" w:hAnsi="宋体" w:eastAsia="宋体" w:cs="宋体"/>
                <w:sz w:val="18"/>
              </w:rPr>
              <w:t>CP330212-2021</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549" w:type="dxa"/>
          </w:tcPr>
          <w:p>
            <w:pPr>
              <w:pStyle w:val="19"/>
              <w:spacing w:before="86"/>
              <w:ind w:left="107"/>
              <w:rPr>
                <w:sz w:val="18"/>
              </w:rPr>
            </w:pPr>
            <w:r>
              <w:rPr>
                <w:rFonts w:hint="eastAsia"/>
                <w:sz w:val="18"/>
              </w:rPr>
              <w:t>所涉市、县（市、区）名称</w:t>
            </w:r>
          </w:p>
        </w:tc>
        <w:tc>
          <w:tcPr>
            <w:tcW w:w="3544" w:type="dxa"/>
            <w:vAlign w:val="center"/>
          </w:tcPr>
          <w:p>
            <w:pPr>
              <w:jc w:val="center"/>
              <w:rPr>
                <w:rFonts w:ascii="Times New Roman" w:hAnsi="宋体" w:eastAsia="宋体" w:cs="宋体"/>
                <w:sz w:val="18"/>
              </w:rPr>
            </w:pPr>
            <w:r>
              <w:rPr>
                <w:rFonts w:hint="eastAsia" w:ascii="Times New Roman" w:hAnsi="宋体" w:eastAsia="宋体" w:cs="宋体"/>
                <w:sz w:val="18"/>
              </w:rPr>
              <w:t>宁波市</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49" w:type="dxa"/>
          </w:tcPr>
          <w:p>
            <w:pPr>
              <w:pStyle w:val="19"/>
              <w:spacing w:before="84"/>
              <w:ind w:left="107"/>
              <w:rPr>
                <w:sz w:val="18"/>
              </w:rPr>
            </w:pPr>
            <w:r>
              <w:rPr>
                <w:sz w:val="18"/>
              </w:rPr>
              <w:t>包含</w:t>
            </w:r>
            <w:r>
              <w:rPr>
                <w:rFonts w:hint="eastAsia"/>
                <w:sz w:val="18"/>
              </w:rPr>
              <w:t>单个成片</w:t>
            </w:r>
            <w:r>
              <w:rPr>
                <w:sz w:val="18"/>
              </w:rPr>
              <w:t>开发</w:t>
            </w:r>
            <w:r>
              <w:rPr>
                <w:rFonts w:hint="eastAsia"/>
                <w:sz w:val="18"/>
              </w:rPr>
              <w:t>方案</w:t>
            </w:r>
            <w:r>
              <w:rPr>
                <w:sz w:val="18"/>
              </w:rPr>
              <w:t>数量</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12</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549" w:type="dxa"/>
          </w:tcPr>
          <w:p>
            <w:pPr>
              <w:pStyle w:val="19"/>
              <w:spacing w:before="86"/>
              <w:ind w:left="107"/>
              <w:rPr>
                <w:sz w:val="18"/>
              </w:rPr>
            </w:pPr>
            <w:r>
              <w:rPr>
                <w:sz w:val="18"/>
              </w:rPr>
              <w:t>土地总面积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400.1625</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3549" w:type="dxa"/>
          </w:tcPr>
          <w:p>
            <w:pPr>
              <w:pStyle w:val="19"/>
              <w:spacing w:before="84"/>
              <w:ind w:left="290"/>
              <w:rPr>
                <w:sz w:val="18"/>
              </w:rPr>
            </w:pPr>
            <w:r>
              <w:rPr>
                <w:sz w:val="18"/>
              </w:rPr>
              <w:t>其中，农用地面积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158.3669</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49" w:type="dxa"/>
          </w:tcPr>
          <w:p>
            <w:pPr>
              <w:pStyle w:val="19"/>
              <w:spacing w:before="83"/>
              <w:ind w:left="1101"/>
              <w:rPr>
                <w:sz w:val="18"/>
              </w:rPr>
            </w:pPr>
            <w:r>
              <w:rPr>
                <w:sz w:val="18"/>
              </w:rPr>
              <w:t>其中，耕地面积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115.1224</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549" w:type="dxa"/>
          </w:tcPr>
          <w:p>
            <w:pPr>
              <w:pStyle w:val="19"/>
              <w:spacing w:before="84"/>
              <w:ind w:left="830"/>
              <w:rPr>
                <w:sz w:val="18"/>
              </w:rPr>
            </w:pPr>
            <w:r>
              <w:rPr>
                <w:sz w:val="18"/>
              </w:rPr>
              <w:t>建设用地面积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217.4810</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549" w:type="dxa"/>
          </w:tcPr>
          <w:p>
            <w:pPr>
              <w:pStyle w:val="19"/>
              <w:spacing w:before="83"/>
              <w:ind w:left="830"/>
              <w:rPr>
                <w:sz w:val="18"/>
              </w:rPr>
            </w:pPr>
            <w:r>
              <w:rPr>
                <w:sz w:val="18"/>
              </w:rPr>
              <w:t>未利用地面积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24.3145</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49" w:type="dxa"/>
          </w:tcPr>
          <w:p>
            <w:pPr>
              <w:pStyle w:val="19"/>
              <w:spacing w:before="86"/>
              <w:ind w:left="107"/>
              <w:rPr>
                <w:sz w:val="18"/>
              </w:rPr>
            </w:pPr>
            <w:r>
              <w:rPr>
                <w:sz w:val="18"/>
              </w:rPr>
              <w:t>拟征收集体土地面积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199.8711</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49" w:type="dxa"/>
          </w:tcPr>
          <w:p>
            <w:pPr>
              <w:pStyle w:val="19"/>
              <w:spacing w:before="86"/>
              <w:ind w:firstLine="360" w:firstLineChars="200"/>
              <w:rPr>
                <w:sz w:val="18"/>
              </w:rPr>
            </w:pPr>
            <w:r>
              <w:rPr>
                <w:rFonts w:hint="eastAsia"/>
                <w:sz w:val="18"/>
              </w:rPr>
              <w:t>征收计划：2021年</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122.2814</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3549" w:type="dxa"/>
          </w:tcPr>
          <w:p>
            <w:pPr>
              <w:pStyle w:val="19"/>
              <w:spacing w:before="86"/>
              <w:ind w:left="107"/>
              <w:rPr>
                <w:sz w:val="18"/>
              </w:rPr>
            </w:pPr>
            <w:r>
              <w:rPr>
                <w:rFonts w:hint="eastAsia"/>
                <w:sz w:val="18"/>
              </w:rPr>
              <w:t xml:space="preserve">             2022年</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32.8912</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49" w:type="dxa"/>
          </w:tcPr>
          <w:p>
            <w:pPr>
              <w:pStyle w:val="19"/>
              <w:spacing w:before="86"/>
              <w:ind w:left="107"/>
              <w:rPr>
                <w:sz w:val="18"/>
              </w:rPr>
            </w:pPr>
            <w:r>
              <w:rPr>
                <w:rFonts w:hint="eastAsia"/>
                <w:sz w:val="18"/>
              </w:rPr>
              <w:t xml:space="preserve">             2023年</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29.2153</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49" w:type="dxa"/>
          </w:tcPr>
          <w:p>
            <w:pPr>
              <w:pStyle w:val="19"/>
              <w:spacing w:before="86"/>
              <w:ind w:firstLine="1260" w:firstLineChars="700"/>
              <w:rPr>
                <w:sz w:val="18"/>
              </w:rPr>
            </w:pPr>
            <w:r>
              <w:rPr>
                <w:rFonts w:hint="eastAsia"/>
                <w:sz w:val="18"/>
              </w:rPr>
              <w:t>2024年</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15.4832</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49" w:type="dxa"/>
          </w:tcPr>
          <w:p>
            <w:pPr>
              <w:pStyle w:val="19"/>
              <w:spacing w:before="86"/>
              <w:ind w:left="107"/>
              <w:rPr>
                <w:sz w:val="18"/>
              </w:rPr>
            </w:pPr>
            <w:r>
              <w:rPr>
                <w:rFonts w:hint="eastAsia"/>
                <w:sz w:val="18"/>
              </w:rPr>
              <w:t>开发建设情况</w:t>
            </w:r>
          </w:p>
        </w:tc>
        <w:tc>
          <w:tcPr>
            <w:tcW w:w="3544" w:type="dxa"/>
            <w:vAlign w:val="center"/>
          </w:tcPr>
          <w:p>
            <w:pPr>
              <w:widowControl/>
              <w:jc w:val="center"/>
              <w:textAlignment w:val="center"/>
              <w:rPr>
                <w:rFonts w:ascii="宋体" w:hAnsi="宋体" w:eastAsia="宋体" w:cs="宋体"/>
                <w:color w:val="000000"/>
                <w:kern w:val="0"/>
                <w:sz w:val="20"/>
                <w:szCs w:val="20"/>
                <w:lang w:bidi="ar"/>
              </w:rPr>
            </w:pP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3549" w:type="dxa"/>
          </w:tcPr>
          <w:p>
            <w:pPr>
              <w:pStyle w:val="19"/>
              <w:spacing w:before="86"/>
              <w:ind w:left="107"/>
              <w:rPr>
                <w:sz w:val="18"/>
              </w:rPr>
            </w:pPr>
            <w:r>
              <w:rPr>
                <w:rFonts w:hint="eastAsia"/>
                <w:sz w:val="18"/>
              </w:rPr>
              <w:t xml:space="preserve">  其中：已建成区面积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171.7305</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49" w:type="dxa"/>
          </w:tcPr>
          <w:p>
            <w:pPr>
              <w:pStyle w:val="19"/>
              <w:spacing w:before="86"/>
              <w:ind w:left="107"/>
              <w:rPr>
                <w:sz w:val="18"/>
              </w:rPr>
            </w:pPr>
            <w:r>
              <w:rPr>
                <w:rFonts w:hint="eastAsia"/>
                <w:sz w:val="18"/>
              </w:rPr>
              <w:t xml:space="preserve">        在建区面积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8.7012</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549" w:type="dxa"/>
          </w:tcPr>
          <w:p>
            <w:pPr>
              <w:pStyle w:val="19"/>
              <w:spacing w:before="86"/>
              <w:ind w:left="107"/>
              <w:rPr>
                <w:sz w:val="18"/>
              </w:rPr>
            </w:pPr>
            <w:r>
              <w:rPr>
                <w:rFonts w:hint="eastAsia"/>
                <w:sz w:val="18"/>
              </w:rPr>
              <w:t xml:space="preserve">        规划建设区面积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219.7308</w:t>
            </w:r>
          </w:p>
        </w:tc>
        <w:tc>
          <w:tcPr>
            <w:tcW w:w="2126" w:type="dxa"/>
            <w:vAlign w:val="center"/>
          </w:tcPr>
          <w:p>
            <w:pPr>
              <w:pStyle w:val="1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549" w:type="dxa"/>
          </w:tcPr>
          <w:p>
            <w:pPr>
              <w:pStyle w:val="19"/>
              <w:spacing w:before="84"/>
              <w:ind w:left="107"/>
              <w:rPr>
                <w:sz w:val="18"/>
              </w:rPr>
            </w:pPr>
            <w:r>
              <w:rPr>
                <w:rFonts w:hint="eastAsia"/>
                <w:sz w:val="18"/>
              </w:rPr>
              <w:t>公益性用地面积</w:t>
            </w:r>
          </w:p>
        </w:tc>
        <w:tc>
          <w:tcPr>
            <w:tcW w:w="3544" w:type="dxa"/>
            <w:vAlign w:val="center"/>
          </w:tcPr>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165.4748</w:t>
            </w:r>
          </w:p>
        </w:tc>
        <w:tc>
          <w:tcPr>
            <w:tcW w:w="2126" w:type="dxa"/>
            <w:vAlign w:val="center"/>
          </w:tcPr>
          <w:p>
            <w:pPr>
              <w:pStyle w:val="19"/>
              <w:rPr>
                <w:rFonts w:ascii="Times New Roman"/>
                <w:sz w:val="18"/>
              </w:rPr>
            </w:pPr>
          </w:p>
        </w:tc>
      </w:tr>
    </w:tbl>
    <w:p>
      <w:pPr>
        <w:rPr>
          <w:rFonts w:ascii="宋体" w:eastAsia="宋体"/>
          <w:sz w:val="18"/>
        </w:rPr>
      </w:pPr>
    </w:p>
    <w:p>
      <w:pPr>
        <w:rPr>
          <w:rFonts w:ascii="宋体" w:eastAsia="宋体"/>
          <w:sz w:val="18"/>
        </w:rPr>
        <w:sectPr>
          <w:type w:val="continuous"/>
          <w:pgSz w:w="11910" w:h="16840"/>
          <w:pgMar w:top="1580" w:right="680" w:bottom="280" w:left="1220" w:header="720" w:footer="720" w:gutter="0"/>
          <w:cols w:equalWidth="0" w:num="2">
            <w:col w:w="1735" w:space="4341"/>
            <w:col w:w="3934"/>
          </w:cols>
        </w:sectPr>
      </w:pPr>
    </w:p>
    <w:p>
      <w:pPr>
        <w:pStyle w:val="7"/>
        <w:spacing w:before="2"/>
        <w:rPr>
          <w:rFonts w:ascii="宋体"/>
          <w:sz w:val="3"/>
        </w:rPr>
      </w:pPr>
    </w:p>
    <w:p>
      <w:pPr>
        <w:tabs>
          <w:tab w:val="left" w:pos="1051"/>
        </w:tabs>
        <w:ind w:right="477"/>
        <w:jc w:val="center"/>
        <w:rPr>
          <w:rFonts w:ascii="黑体" w:eastAsia="黑体"/>
          <w:sz w:val="28"/>
        </w:rPr>
      </w:pPr>
      <w:r>
        <w:rPr>
          <w:rFonts w:hint="eastAsia" w:ascii="黑体" w:eastAsia="黑体"/>
          <w:sz w:val="28"/>
        </w:rPr>
        <w:t>表</w:t>
      </w:r>
      <w:r>
        <w:rPr>
          <w:rFonts w:hint="eastAsia" w:ascii="黑体" w:eastAsia="黑体"/>
          <w:spacing w:val="-71"/>
          <w:sz w:val="28"/>
        </w:rPr>
        <w:t xml:space="preserve"> </w:t>
      </w:r>
      <w:r>
        <w:rPr>
          <w:rFonts w:hint="eastAsia" w:ascii="黑体" w:eastAsia="黑体"/>
          <w:sz w:val="28"/>
        </w:rPr>
        <w:t>3</w:t>
      </w:r>
      <w:r>
        <w:rPr>
          <w:rFonts w:hint="eastAsia" w:ascii="黑体" w:eastAsia="黑体"/>
          <w:sz w:val="28"/>
        </w:rPr>
        <w:tab/>
      </w:r>
      <w:r>
        <w:rPr>
          <w:rFonts w:hint="eastAsia" w:ascii="黑体" w:eastAsia="黑体"/>
          <w:sz w:val="28"/>
        </w:rPr>
        <w:t>土地征收成片</w:t>
      </w:r>
      <w:r>
        <w:rPr>
          <w:rFonts w:hint="eastAsia" w:ascii="黑体" w:eastAsia="黑体"/>
          <w:spacing w:val="-3"/>
          <w:sz w:val="28"/>
        </w:rPr>
        <w:t>开</w:t>
      </w:r>
      <w:r>
        <w:rPr>
          <w:rFonts w:hint="eastAsia" w:ascii="黑体" w:eastAsia="黑体"/>
          <w:sz w:val="28"/>
        </w:rPr>
        <w:t>发方案</w:t>
      </w:r>
      <w:r>
        <w:rPr>
          <w:rFonts w:hint="eastAsia" w:ascii="黑体" w:eastAsia="黑体"/>
          <w:spacing w:val="-3"/>
          <w:sz w:val="28"/>
        </w:rPr>
        <w:t>年</w:t>
      </w:r>
      <w:r>
        <w:rPr>
          <w:rFonts w:hint="eastAsia" w:ascii="黑体" w:eastAsia="黑体"/>
          <w:sz w:val="28"/>
        </w:rPr>
        <w:t>度实施</w:t>
      </w:r>
      <w:r>
        <w:rPr>
          <w:rFonts w:hint="eastAsia" w:ascii="黑体" w:eastAsia="黑体"/>
          <w:spacing w:val="-3"/>
          <w:sz w:val="28"/>
        </w:rPr>
        <w:t>计</w:t>
      </w:r>
      <w:r>
        <w:rPr>
          <w:rFonts w:hint="eastAsia" w:ascii="黑体" w:eastAsia="黑体"/>
          <w:sz w:val="28"/>
        </w:rPr>
        <w:t>划安排表</w:t>
      </w:r>
    </w:p>
    <w:p>
      <w:pPr>
        <w:spacing w:before="171"/>
        <w:ind w:right="731"/>
        <w:jc w:val="right"/>
        <w:rPr>
          <w:rFonts w:ascii="宋体" w:eastAsia="宋体"/>
          <w:sz w:val="18"/>
        </w:rPr>
      </w:pPr>
      <w:r>
        <w:rPr>
          <w:rFonts w:hint="eastAsia" w:ascii="宋体" w:eastAsia="宋体"/>
          <w:sz w:val="18"/>
        </w:rPr>
        <w:t>单位：公顷（</w:t>
      </w:r>
      <w:r>
        <w:rPr>
          <w:rFonts w:ascii="Times New Roman" w:eastAsia="Times New Roman"/>
          <w:sz w:val="18"/>
        </w:rPr>
        <w:t>0.00</w:t>
      </w:r>
      <w:r>
        <w:rPr>
          <w:rFonts w:hint="eastAsia" w:ascii="Times New Roman" w:eastAsia="宋体"/>
          <w:sz w:val="18"/>
        </w:rPr>
        <w:t>00</w:t>
      </w:r>
      <w:r>
        <w:rPr>
          <w:rFonts w:hint="eastAsia" w:ascii="宋体" w:eastAsia="宋体"/>
          <w:sz w:val="18"/>
        </w:rPr>
        <w:t>）</w:t>
      </w:r>
    </w:p>
    <w:p>
      <w:pPr>
        <w:tabs>
          <w:tab w:val="left" w:pos="5930"/>
        </w:tabs>
        <w:spacing w:before="137" w:after="41"/>
        <w:rPr>
          <w:rFonts w:ascii="宋体" w:eastAsia="宋体"/>
          <w:sz w:val="18"/>
        </w:rPr>
      </w:pPr>
    </w:p>
    <w:tbl>
      <w:tblPr>
        <w:tblStyle w:val="14"/>
        <w:tblW w:w="106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2"/>
        <w:gridCol w:w="2449"/>
        <w:gridCol w:w="985"/>
        <w:gridCol w:w="796"/>
        <w:gridCol w:w="824"/>
        <w:gridCol w:w="811"/>
        <w:gridCol w:w="912"/>
        <w:gridCol w:w="824"/>
        <w:gridCol w:w="739"/>
        <w:gridCol w:w="690"/>
        <w:gridCol w:w="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032" w:type="dxa"/>
            <w:vMerge w:val="restart"/>
            <w:vAlign w:val="center"/>
          </w:tcPr>
          <w:p>
            <w:pPr>
              <w:pStyle w:val="19"/>
              <w:spacing w:before="45"/>
              <w:jc w:val="center"/>
              <w:rPr>
                <w:rFonts w:ascii="黑体" w:eastAsia="黑体"/>
                <w:sz w:val="18"/>
              </w:rPr>
            </w:pPr>
            <w:r>
              <w:rPr>
                <w:rFonts w:hint="eastAsia" w:ascii="黑体" w:eastAsia="黑体"/>
                <w:sz w:val="18"/>
              </w:rPr>
              <w:t>包含开发</w:t>
            </w:r>
          </w:p>
          <w:p>
            <w:pPr>
              <w:pStyle w:val="19"/>
              <w:spacing w:before="81"/>
              <w:ind w:left="5"/>
              <w:jc w:val="center"/>
              <w:rPr>
                <w:rFonts w:ascii="黑体" w:eastAsia="黑体"/>
                <w:sz w:val="18"/>
              </w:rPr>
            </w:pPr>
            <w:r>
              <w:rPr>
                <w:rFonts w:hint="eastAsia" w:ascii="黑体" w:eastAsia="黑体"/>
                <w:sz w:val="18"/>
              </w:rPr>
              <w:t>片区数量</w:t>
            </w:r>
          </w:p>
        </w:tc>
        <w:tc>
          <w:tcPr>
            <w:tcW w:w="2449" w:type="dxa"/>
            <w:vMerge w:val="restart"/>
            <w:vAlign w:val="center"/>
          </w:tcPr>
          <w:p>
            <w:pPr>
              <w:pStyle w:val="19"/>
              <w:jc w:val="center"/>
              <w:rPr>
                <w:rFonts w:ascii="黑体" w:eastAsia="黑体"/>
                <w:sz w:val="18"/>
              </w:rPr>
            </w:pPr>
            <w:r>
              <w:rPr>
                <w:rFonts w:hint="eastAsia" w:ascii="黑体" w:eastAsia="黑体"/>
                <w:sz w:val="18"/>
              </w:rPr>
              <w:t>成片开发活动类型</w:t>
            </w:r>
          </w:p>
        </w:tc>
        <w:tc>
          <w:tcPr>
            <w:tcW w:w="985" w:type="dxa"/>
            <w:vMerge w:val="restart"/>
            <w:vAlign w:val="center"/>
          </w:tcPr>
          <w:p>
            <w:pPr>
              <w:pStyle w:val="19"/>
              <w:spacing w:before="45"/>
              <w:ind w:left="109" w:right="101"/>
              <w:jc w:val="center"/>
              <w:rPr>
                <w:rFonts w:ascii="黑体" w:eastAsia="黑体"/>
                <w:sz w:val="18"/>
              </w:rPr>
            </w:pPr>
            <w:r>
              <w:rPr>
                <w:rFonts w:hint="eastAsia" w:ascii="黑体" w:eastAsia="黑体"/>
                <w:sz w:val="18"/>
              </w:rPr>
              <w:t>所涉土地面积</w:t>
            </w:r>
          </w:p>
        </w:tc>
        <w:tc>
          <w:tcPr>
            <w:tcW w:w="5596" w:type="dxa"/>
            <w:gridSpan w:val="7"/>
            <w:vAlign w:val="center"/>
          </w:tcPr>
          <w:p>
            <w:pPr>
              <w:pStyle w:val="19"/>
              <w:ind w:left="215"/>
              <w:jc w:val="center"/>
              <w:rPr>
                <w:rFonts w:ascii="黑体" w:eastAsia="黑体"/>
                <w:sz w:val="18"/>
              </w:rPr>
            </w:pPr>
            <w:r>
              <w:rPr>
                <w:rFonts w:hint="eastAsia" w:ascii="黑体" w:eastAsia="黑体"/>
                <w:sz w:val="18"/>
              </w:rPr>
              <w:t>进度安排</w:t>
            </w:r>
          </w:p>
        </w:tc>
        <w:tc>
          <w:tcPr>
            <w:tcW w:w="565" w:type="dxa"/>
            <w:vMerge w:val="restart"/>
            <w:vAlign w:val="center"/>
          </w:tcPr>
          <w:p>
            <w:pPr>
              <w:pStyle w:val="19"/>
              <w:jc w:val="center"/>
              <w:rPr>
                <w:rFonts w:ascii="黑体" w:eastAsia="黑体"/>
                <w:sz w:val="18"/>
              </w:rPr>
            </w:pPr>
            <w:r>
              <w:rPr>
                <w:rFonts w:hint="eastAsia" w:ascii="黑体" w:eastAsia="黑体"/>
                <w:sz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032" w:type="dxa"/>
            <w:vMerge w:val="continue"/>
            <w:tcBorders>
              <w:top w:val="nil"/>
            </w:tcBorders>
            <w:vAlign w:val="center"/>
          </w:tcPr>
          <w:p>
            <w:pPr>
              <w:jc w:val="center"/>
              <w:rPr>
                <w:sz w:val="2"/>
                <w:szCs w:val="2"/>
              </w:rPr>
            </w:pPr>
          </w:p>
        </w:tc>
        <w:tc>
          <w:tcPr>
            <w:tcW w:w="2449" w:type="dxa"/>
            <w:vMerge w:val="continue"/>
            <w:tcBorders>
              <w:top w:val="nil"/>
            </w:tcBorders>
            <w:vAlign w:val="center"/>
          </w:tcPr>
          <w:p>
            <w:pPr>
              <w:jc w:val="center"/>
              <w:rPr>
                <w:sz w:val="2"/>
                <w:szCs w:val="2"/>
              </w:rPr>
            </w:pPr>
          </w:p>
        </w:tc>
        <w:tc>
          <w:tcPr>
            <w:tcW w:w="985" w:type="dxa"/>
            <w:vMerge w:val="continue"/>
            <w:tcBorders>
              <w:top w:val="nil"/>
            </w:tcBorders>
            <w:vAlign w:val="center"/>
          </w:tcPr>
          <w:p>
            <w:pPr>
              <w:jc w:val="center"/>
              <w:rPr>
                <w:sz w:val="2"/>
                <w:szCs w:val="2"/>
              </w:rPr>
            </w:pPr>
          </w:p>
        </w:tc>
        <w:tc>
          <w:tcPr>
            <w:tcW w:w="796" w:type="dxa"/>
            <w:vAlign w:val="center"/>
          </w:tcPr>
          <w:p>
            <w:pPr>
              <w:pStyle w:val="19"/>
              <w:spacing w:before="43"/>
              <w:jc w:val="center"/>
              <w:rPr>
                <w:rFonts w:ascii="黑体" w:eastAsia="黑体"/>
                <w:sz w:val="18"/>
              </w:rPr>
            </w:pPr>
            <w:r>
              <w:rPr>
                <w:rFonts w:ascii="黑体" w:eastAsia="黑体"/>
                <w:sz w:val="18"/>
              </w:rPr>
              <w:t>2021</w:t>
            </w:r>
            <w:r>
              <w:rPr>
                <w:rFonts w:hint="eastAsia" w:ascii="黑体" w:eastAsia="黑体"/>
                <w:sz w:val="18"/>
              </w:rPr>
              <w:t>年</w:t>
            </w:r>
          </w:p>
        </w:tc>
        <w:tc>
          <w:tcPr>
            <w:tcW w:w="824" w:type="dxa"/>
            <w:vAlign w:val="center"/>
          </w:tcPr>
          <w:p>
            <w:pPr>
              <w:pStyle w:val="19"/>
              <w:spacing w:before="43"/>
              <w:ind w:left="118"/>
              <w:jc w:val="center"/>
              <w:rPr>
                <w:rFonts w:ascii="黑体" w:eastAsia="黑体"/>
                <w:sz w:val="18"/>
              </w:rPr>
            </w:pPr>
            <w:r>
              <w:rPr>
                <w:rFonts w:ascii="黑体" w:eastAsia="黑体"/>
                <w:sz w:val="18"/>
              </w:rPr>
              <w:t>2022</w:t>
            </w:r>
            <w:r>
              <w:rPr>
                <w:rFonts w:hint="eastAsia" w:ascii="黑体" w:eastAsia="黑体"/>
                <w:sz w:val="18"/>
              </w:rPr>
              <w:t>年</w:t>
            </w:r>
          </w:p>
        </w:tc>
        <w:tc>
          <w:tcPr>
            <w:tcW w:w="811" w:type="dxa"/>
            <w:vAlign w:val="center"/>
          </w:tcPr>
          <w:p>
            <w:pPr>
              <w:pStyle w:val="19"/>
              <w:spacing w:before="43"/>
              <w:ind w:left="118"/>
              <w:jc w:val="center"/>
              <w:rPr>
                <w:rFonts w:ascii="黑体" w:eastAsia="黑体"/>
                <w:sz w:val="18"/>
              </w:rPr>
            </w:pPr>
            <w:r>
              <w:rPr>
                <w:rFonts w:hint="eastAsia" w:ascii="黑体" w:eastAsia="黑体"/>
                <w:sz w:val="18"/>
              </w:rPr>
              <w:t>2</w:t>
            </w:r>
            <w:r>
              <w:rPr>
                <w:rFonts w:ascii="黑体" w:eastAsia="黑体"/>
                <w:sz w:val="18"/>
              </w:rPr>
              <w:t>023年</w:t>
            </w:r>
          </w:p>
        </w:tc>
        <w:tc>
          <w:tcPr>
            <w:tcW w:w="912" w:type="dxa"/>
            <w:vAlign w:val="center"/>
          </w:tcPr>
          <w:p>
            <w:pPr>
              <w:pStyle w:val="19"/>
              <w:spacing w:before="43"/>
              <w:ind w:left="2"/>
              <w:jc w:val="center"/>
              <w:rPr>
                <w:rFonts w:ascii="黑体" w:hAnsi="黑体"/>
                <w:sz w:val="18"/>
              </w:rPr>
            </w:pPr>
            <w:r>
              <w:rPr>
                <w:rFonts w:ascii="黑体" w:eastAsia="黑体"/>
                <w:sz w:val="18"/>
              </w:rPr>
              <w:t>2024</w:t>
            </w:r>
            <w:r>
              <w:rPr>
                <w:rFonts w:hint="eastAsia" w:ascii="黑体" w:eastAsia="黑体"/>
                <w:sz w:val="18"/>
              </w:rPr>
              <w:t>年</w:t>
            </w:r>
          </w:p>
        </w:tc>
        <w:tc>
          <w:tcPr>
            <w:tcW w:w="824" w:type="dxa"/>
            <w:vAlign w:val="center"/>
          </w:tcPr>
          <w:p>
            <w:pPr>
              <w:pStyle w:val="19"/>
              <w:spacing w:before="43"/>
              <w:ind w:left="3"/>
              <w:jc w:val="center"/>
              <w:rPr>
                <w:rFonts w:ascii="黑体" w:hAnsi="黑体"/>
                <w:sz w:val="18"/>
              </w:rPr>
            </w:pPr>
            <w:r>
              <w:rPr>
                <w:rFonts w:ascii="黑体" w:hAnsi="黑体"/>
                <w:sz w:val="18"/>
              </w:rPr>
              <w:t>2025</w:t>
            </w:r>
            <w:r>
              <w:rPr>
                <w:rFonts w:hint="eastAsia" w:ascii="黑体" w:hAnsi="黑体"/>
                <w:sz w:val="18"/>
              </w:rPr>
              <w:t>年</w:t>
            </w:r>
          </w:p>
        </w:tc>
        <w:tc>
          <w:tcPr>
            <w:tcW w:w="739" w:type="dxa"/>
            <w:tcBorders>
              <w:top w:val="nil"/>
            </w:tcBorders>
            <w:vAlign w:val="center"/>
          </w:tcPr>
          <w:p>
            <w:pPr>
              <w:jc w:val="center"/>
              <w:rPr>
                <w:sz w:val="2"/>
                <w:szCs w:val="2"/>
              </w:rPr>
            </w:pPr>
            <w:r>
              <w:rPr>
                <w:rFonts w:ascii="黑体" w:hAnsi="黑体"/>
                <w:sz w:val="18"/>
              </w:rPr>
              <w:t>2026</w:t>
            </w:r>
            <w:r>
              <w:rPr>
                <w:rFonts w:hint="eastAsia" w:ascii="黑体" w:hAnsi="黑体"/>
                <w:sz w:val="18"/>
              </w:rPr>
              <w:t>年</w:t>
            </w:r>
          </w:p>
        </w:tc>
        <w:tc>
          <w:tcPr>
            <w:tcW w:w="690" w:type="dxa"/>
            <w:tcBorders>
              <w:top w:val="nil"/>
            </w:tcBorders>
            <w:vAlign w:val="center"/>
          </w:tcPr>
          <w:p>
            <w:pPr>
              <w:jc w:val="center"/>
              <w:rPr>
                <w:sz w:val="2"/>
                <w:szCs w:val="2"/>
              </w:rPr>
            </w:pPr>
            <w:r>
              <w:rPr>
                <w:rFonts w:ascii="黑体" w:hAnsi="黑体"/>
                <w:sz w:val="18"/>
              </w:rPr>
              <w:t>2027</w:t>
            </w:r>
            <w:r>
              <w:rPr>
                <w:rFonts w:hint="eastAsia" w:ascii="黑体" w:hAnsi="黑体"/>
                <w:sz w:val="18"/>
              </w:rPr>
              <w:t>年</w:t>
            </w:r>
          </w:p>
        </w:tc>
        <w:tc>
          <w:tcPr>
            <w:tcW w:w="565" w:type="dxa"/>
            <w:vMerge w:val="continue"/>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032" w:type="dxa"/>
            <w:vMerge w:val="restart"/>
          </w:tcPr>
          <w:p>
            <w:pPr>
              <w:pStyle w:val="19"/>
              <w:rPr>
                <w:sz w:val="20"/>
              </w:rPr>
            </w:pPr>
          </w:p>
          <w:p>
            <w:pPr>
              <w:pStyle w:val="19"/>
              <w:rPr>
                <w:sz w:val="20"/>
              </w:rPr>
            </w:pPr>
          </w:p>
          <w:p>
            <w:pPr>
              <w:pStyle w:val="19"/>
              <w:spacing w:before="7"/>
              <w:rPr>
                <w:sz w:val="25"/>
              </w:rPr>
            </w:pPr>
          </w:p>
          <w:p>
            <w:pPr>
              <w:pStyle w:val="19"/>
              <w:tabs>
                <w:tab w:val="left" w:pos="650"/>
              </w:tabs>
              <w:ind w:left="290"/>
              <w:rPr>
                <w:sz w:val="18"/>
              </w:rPr>
            </w:pPr>
            <w:r>
              <w:rPr>
                <w:rFonts w:hint="eastAsia" w:ascii="Times New Roman"/>
                <w:sz w:val="18"/>
                <w:u w:val="single"/>
              </w:rPr>
              <w:t>12</w:t>
            </w:r>
            <w:r>
              <w:rPr>
                <w:sz w:val="18"/>
              </w:rPr>
              <w:t>个</w:t>
            </w:r>
          </w:p>
        </w:tc>
        <w:tc>
          <w:tcPr>
            <w:tcW w:w="2449" w:type="dxa"/>
          </w:tcPr>
          <w:p>
            <w:pPr>
              <w:pStyle w:val="19"/>
              <w:spacing w:before="40"/>
              <w:ind w:left="107"/>
              <w:rPr>
                <w:sz w:val="18"/>
              </w:rPr>
            </w:pPr>
            <w:r>
              <w:rPr>
                <w:sz w:val="18"/>
              </w:rPr>
              <w:t>拟征收集体土地</w:t>
            </w:r>
          </w:p>
        </w:tc>
        <w:tc>
          <w:tcPr>
            <w:tcW w:w="985"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sz w:val="18"/>
                <w:szCs w:val="18"/>
              </w:rPr>
              <w:t>199.8711</w:t>
            </w:r>
          </w:p>
        </w:tc>
        <w:tc>
          <w:tcPr>
            <w:tcW w:w="796"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61.18%</w:t>
            </w:r>
          </w:p>
        </w:tc>
        <w:tc>
          <w:tcPr>
            <w:tcW w:w="824"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77.64%</w:t>
            </w:r>
          </w:p>
        </w:tc>
        <w:tc>
          <w:tcPr>
            <w:tcW w:w="811"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92.25%</w:t>
            </w:r>
          </w:p>
        </w:tc>
        <w:tc>
          <w:tcPr>
            <w:tcW w:w="912" w:type="dxa"/>
            <w:vAlign w:val="center"/>
          </w:tcPr>
          <w:p>
            <w:pPr>
              <w:jc w:val="center"/>
              <w:rPr>
                <w:rFonts w:asciiTheme="minorEastAsia" w:hAnsiTheme="minorEastAsia"/>
                <w:color w:val="000000"/>
                <w:sz w:val="18"/>
                <w:szCs w:val="15"/>
              </w:rPr>
            </w:pPr>
            <w:r>
              <w:rPr>
                <w:rFonts w:hint="eastAsia" w:asciiTheme="minorEastAsia" w:hAnsiTheme="minorEastAsia"/>
                <w:color w:val="000000"/>
                <w:sz w:val="18"/>
                <w:szCs w:val="15"/>
              </w:rPr>
              <w:t>100.00%</w:t>
            </w:r>
          </w:p>
        </w:tc>
        <w:tc>
          <w:tcPr>
            <w:tcW w:w="824" w:type="dxa"/>
            <w:vAlign w:val="center"/>
          </w:tcPr>
          <w:p>
            <w:pPr>
              <w:jc w:val="center"/>
              <w:rPr>
                <w:rFonts w:asciiTheme="minorEastAsia" w:hAnsiTheme="minorEastAsia"/>
                <w:color w:val="000000"/>
                <w:sz w:val="18"/>
                <w:szCs w:val="15"/>
              </w:rPr>
            </w:pPr>
          </w:p>
        </w:tc>
        <w:tc>
          <w:tcPr>
            <w:tcW w:w="739" w:type="dxa"/>
            <w:vAlign w:val="center"/>
          </w:tcPr>
          <w:p>
            <w:pPr>
              <w:jc w:val="center"/>
              <w:rPr>
                <w:rFonts w:asciiTheme="minorEastAsia" w:hAnsiTheme="minorEastAsia"/>
                <w:color w:val="000000"/>
                <w:sz w:val="18"/>
                <w:szCs w:val="15"/>
              </w:rPr>
            </w:pPr>
          </w:p>
        </w:tc>
        <w:tc>
          <w:tcPr>
            <w:tcW w:w="690" w:type="dxa"/>
            <w:vAlign w:val="center"/>
          </w:tcPr>
          <w:p>
            <w:pPr>
              <w:jc w:val="center"/>
              <w:rPr>
                <w:rFonts w:asciiTheme="minorEastAsia" w:hAnsiTheme="minorEastAsia"/>
                <w:color w:val="000000"/>
                <w:sz w:val="18"/>
                <w:szCs w:val="15"/>
              </w:rPr>
            </w:pPr>
          </w:p>
        </w:tc>
        <w:tc>
          <w:tcPr>
            <w:tcW w:w="565" w:type="dxa"/>
            <w:vAlign w:val="center"/>
          </w:tcPr>
          <w:p>
            <w:pPr>
              <w:pStyle w:val="19"/>
              <w:jc w:val="center"/>
              <w:rPr>
                <w:rFonts w:asciiTheme="minorEastAsia" w:hAnsiTheme="minorEastAsia" w:eastAsiaTheme="minorEastAsia" w:cs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032" w:type="dxa"/>
            <w:vMerge w:val="continue"/>
            <w:tcBorders>
              <w:top w:val="nil"/>
            </w:tcBorders>
          </w:tcPr>
          <w:p>
            <w:pPr>
              <w:rPr>
                <w:sz w:val="2"/>
                <w:szCs w:val="2"/>
              </w:rPr>
            </w:pPr>
          </w:p>
        </w:tc>
        <w:tc>
          <w:tcPr>
            <w:tcW w:w="2449" w:type="dxa"/>
          </w:tcPr>
          <w:p>
            <w:pPr>
              <w:pStyle w:val="19"/>
              <w:spacing w:before="40"/>
              <w:ind w:left="107"/>
              <w:rPr>
                <w:sz w:val="18"/>
              </w:rPr>
            </w:pPr>
            <w:r>
              <w:rPr>
                <w:sz w:val="18"/>
              </w:rPr>
              <w:t>拟收回、收购、行使优先权</w:t>
            </w:r>
            <w:r>
              <w:rPr>
                <w:rFonts w:hint="eastAsia"/>
                <w:sz w:val="18"/>
              </w:rPr>
              <w:t>,</w:t>
            </w:r>
            <w:r>
              <w:rPr>
                <w:sz w:val="18"/>
              </w:rPr>
              <w:t>购买国有存量土地</w:t>
            </w:r>
          </w:p>
        </w:tc>
        <w:tc>
          <w:tcPr>
            <w:tcW w:w="985" w:type="dxa"/>
            <w:vAlign w:val="center"/>
          </w:tcPr>
          <w:p>
            <w:pPr>
              <w:widowControl/>
              <w:jc w:val="center"/>
              <w:textAlignment w:val="center"/>
              <w:rPr>
                <w:rFonts w:asciiTheme="minorEastAsia" w:hAnsiTheme="minorEastAsia"/>
                <w:color w:val="000000"/>
                <w:sz w:val="18"/>
                <w:szCs w:val="15"/>
              </w:rPr>
            </w:pPr>
            <w:r>
              <w:rPr>
                <w:rFonts w:hint="eastAsia" w:ascii="宋体" w:hAnsi="宋体" w:eastAsia="宋体" w:cs="宋体"/>
                <w:color w:val="000000"/>
                <w:kern w:val="0"/>
                <w:sz w:val="18"/>
                <w:szCs w:val="18"/>
                <w:lang w:bidi="ar"/>
              </w:rPr>
              <w:t>140.5241</w:t>
            </w:r>
          </w:p>
        </w:tc>
        <w:tc>
          <w:tcPr>
            <w:tcW w:w="796"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45.06%</w:t>
            </w:r>
          </w:p>
        </w:tc>
        <w:tc>
          <w:tcPr>
            <w:tcW w:w="824"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91.57%</w:t>
            </w:r>
          </w:p>
        </w:tc>
        <w:tc>
          <w:tcPr>
            <w:tcW w:w="811"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100.00%</w:t>
            </w:r>
          </w:p>
        </w:tc>
        <w:tc>
          <w:tcPr>
            <w:tcW w:w="912" w:type="dxa"/>
            <w:vAlign w:val="center"/>
          </w:tcPr>
          <w:p>
            <w:pPr>
              <w:jc w:val="center"/>
              <w:rPr>
                <w:rFonts w:asciiTheme="minorEastAsia" w:hAnsiTheme="minorEastAsia"/>
                <w:color w:val="000000"/>
                <w:sz w:val="18"/>
                <w:szCs w:val="15"/>
              </w:rPr>
            </w:pPr>
          </w:p>
        </w:tc>
        <w:tc>
          <w:tcPr>
            <w:tcW w:w="824" w:type="dxa"/>
            <w:vAlign w:val="center"/>
          </w:tcPr>
          <w:p>
            <w:pPr>
              <w:jc w:val="center"/>
              <w:rPr>
                <w:rFonts w:asciiTheme="minorEastAsia" w:hAnsiTheme="minorEastAsia"/>
                <w:color w:val="000000"/>
                <w:sz w:val="18"/>
                <w:szCs w:val="15"/>
              </w:rPr>
            </w:pPr>
          </w:p>
        </w:tc>
        <w:tc>
          <w:tcPr>
            <w:tcW w:w="739" w:type="dxa"/>
            <w:vAlign w:val="center"/>
          </w:tcPr>
          <w:p>
            <w:pPr>
              <w:jc w:val="center"/>
              <w:rPr>
                <w:rFonts w:asciiTheme="minorEastAsia" w:hAnsiTheme="minorEastAsia"/>
                <w:color w:val="000000"/>
                <w:sz w:val="18"/>
                <w:szCs w:val="15"/>
              </w:rPr>
            </w:pPr>
          </w:p>
        </w:tc>
        <w:tc>
          <w:tcPr>
            <w:tcW w:w="690" w:type="dxa"/>
            <w:vAlign w:val="center"/>
          </w:tcPr>
          <w:p>
            <w:pPr>
              <w:jc w:val="center"/>
              <w:rPr>
                <w:rFonts w:asciiTheme="minorEastAsia" w:hAnsiTheme="minorEastAsia"/>
                <w:color w:val="000000"/>
                <w:sz w:val="18"/>
                <w:szCs w:val="15"/>
              </w:rPr>
            </w:pPr>
          </w:p>
        </w:tc>
        <w:tc>
          <w:tcPr>
            <w:tcW w:w="565" w:type="dxa"/>
            <w:vAlign w:val="center"/>
          </w:tcPr>
          <w:p>
            <w:pPr>
              <w:pStyle w:val="19"/>
              <w:jc w:val="center"/>
              <w:rPr>
                <w:rFonts w:asciiTheme="minorEastAsia" w:hAnsiTheme="minorEastAsia" w:eastAsiaTheme="minorEastAsia" w:cs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032" w:type="dxa"/>
            <w:vMerge w:val="continue"/>
            <w:tcBorders>
              <w:top w:val="nil"/>
            </w:tcBorders>
          </w:tcPr>
          <w:p>
            <w:pPr>
              <w:rPr>
                <w:sz w:val="2"/>
                <w:szCs w:val="2"/>
              </w:rPr>
            </w:pPr>
          </w:p>
        </w:tc>
        <w:tc>
          <w:tcPr>
            <w:tcW w:w="2449" w:type="dxa"/>
          </w:tcPr>
          <w:p>
            <w:pPr>
              <w:pStyle w:val="19"/>
              <w:spacing w:before="40"/>
              <w:ind w:left="107"/>
              <w:rPr>
                <w:sz w:val="18"/>
              </w:rPr>
            </w:pPr>
            <w:r>
              <w:rPr>
                <w:sz w:val="18"/>
              </w:rPr>
              <w:t>拟开展基础设施配套建设</w:t>
            </w:r>
          </w:p>
        </w:tc>
        <w:tc>
          <w:tcPr>
            <w:tcW w:w="985" w:type="dxa"/>
            <w:vAlign w:val="center"/>
          </w:tcPr>
          <w:p>
            <w:pPr>
              <w:widowControl/>
              <w:jc w:val="center"/>
              <w:textAlignment w:val="center"/>
              <w:rPr>
                <w:rFonts w:eastAsia="宋体" w:asciiTheme="minorEastAsia" w:hAnsiTheme="minorEastAsia"/>
                <w:color w:val="000000"/>
                <w:sz w:val="18"/>
                <w:szCs w:val="15"/>
              </w:rPr>
            </w:pPr>
            <w:r>
              <w:rPr>
                <w:rFonts w:hint="eastAsia" w:ascii="宋体" w:hAnsi="宋体" w:eastAsia="宋体" w:cs="宋体"/>
                <w:color w:val="000000"/>
                <w:kern w:val="0"/>
                <w:sz w:val="18"/>
                <w:szCs w:val="18"/>
                <w:lang w:bidi="ar"/>
              </w:rPr>
              <w:t>83.8376</w:t>
            </w:r>
          </w:p>
        </w:tc>
        <w:tc>
          <w:tcPr>
            <w:tcW w:w="796"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0.15%</w:t>
            </w:r>
          </w:p>
        </w:tc>
        <w:tc>
          <w:tcPr>
            <w:tcW w:w="824"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8.76%</w:t>
            </w:r>
          </w:p>
        </w:tc>
        <w:tc>
          <w:tcPr>
            <w:tcW w:w="811"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68.05%</w:t>
            </w:r>
          </w:p>
        </w:tc>
        <w:tc>
          <w:tcPr>
            <w:tcW w:w="912" w:type="dxa"/>
            <w:vAlign w:val="center"/>
          </w:tcPr>
          <w:p>
            <w:pPr>
              <w:jc w:val="center"/>
              <w:rPr>
                <w:rFonts w:asciiTheme="minorEastAsia" w:hAnsiTheme="minorEastAsia"/>
                <w:color w:val="000000"/>
                <w:sz w:val="18"/>
                <w:szCs w:val="15"/>
              </w:rPr>
            </w:pPr>
            <w:r>
              <w:rPr>
                <w:rFonts w:hint="eastAsia" w:asciiTheme="minorEastAsia" w:hAnsiTheme="minorEastAsia"/>
                <w:color w:val="000000"/>
                <w:sz w:val="18"/>
                <w:szCs w:val="15"/>
              </w:rPr>
              <w:t>88.23%</w:t>
            </w:r>
          </w:p>
        </w:tc>
        <w:tc>
          <w:tcPr>
            <w:tcW w:w="824" w:type="dxa"/>
            <w:vAlign w:val="center"/>
          </w:tcPr>
          <w:p>
            <w:pPr>
              <w:jc w:val="center"/>
              <w:rPr>
                <w:rFonts w:asciiTheme="minorEastAsia" w:hAnsiTheme="minorEastAsia"/>
                <w:color w:val="000000"/>
                <w:sz w:val="18"/>
                <w:szCs w:val="15"/>
              </w:rPr>
            </w:pPr>
            <w:r>
              <w:rPr>
                <w:rFonts w:hint="eastAsia" w:asciiTheme="minorEastAsia" w:hAnsiTheme="minorEastAsia"/>
                <w:color w:val="000000"/>
                <w:sz w:val="18"/>
                <w:szCs w:val="15"/>
              </w:rPr>
              <w:t>96.57%</w:t>
            </w:r>
          </w:p>
        </w:tc>
        <w:tc>
          <w:tcPr>
            <w:tcW w:w="739" w:type="dxa"/>
            <w:vAlign w:val="center"/>
          </w:tcPr>
          <w:p>
            <w:pPr>
              <w:jc w:val="center"/>
              <w:rPr>
                <w:rFonts w:asciiTheme="minorEastAsia" w:hAnsiTheme="minorEastAsia"/>
                <w:color w:val="000000"/>
                <w:sz w:val="18"/>
                <w:szCs w:val="15"/>
              </w:rPr>
            </w:pPr>
            <w:r>
              <w:rPr>
                <w:rFonts w:hint="eastAsia" w:asciiTheme="minorEastAsia" w:hAnsiTheme="minorEastAsia"/>
                <w:color w:val="000000"/>
                <w:sz w:val="18"/>
                <w:szCs w:val="15"/>
              </w:rPr>
              <w:t>100.00%</w:t>
            </w:r>
          </w:p>
        </w:tc>
        <w:tc>
          <w:tcPr>
            <w:tcW w:w="690" w:type="dxa"/>
            <w:vAlign w:val="center"/>
          </w:tcPr>
          <w:p>
            <w:pPr>
              <w:jc w:val="center"/>
              <w:rPr>
                <w:rFonts w:asciiTheme="minorEastAsia" w:hAnsiTheme="minorEastAsia"/>
                <w:color w:val="000000"/>
                <w:sz w:val="18"/>
                <w:szCs w:val="15"/>
              </w:rPr>
            </w:pPr>
          </w:p>
        </w:tc>
        <w:tc>
          <w:tcPr>
            <w:tcW w:w="565" w:type="dxa"/>
            <w:vAlign w:val="center"/>
          </w:tcPr>
          <w:p>
            <w:pPr>
              <w:pStyle w:val="19"/>
              <w:jc w:val="center"/>
              <w:rPr>
                <w:rFonts w:asciiTheme="minorEastAsia" w:hAnsiTheme="minorEastAsia" w:eastAsiaTheme="minorEastAsia" w:cs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032" w:type="dxa"/>
            <w:vMerge w:val="continue"/>
            <w:tcBorders>
              <w:top w:val="nil"/>
            </w:tcBorders>
          </w:tcPr>
          <w:p>
            <w:pPr>
              <w:rPr>
                <w:sz w:val="2"/>
                <w:szCs w:val="2"/>
              </w:rPr>
            </w:pPr>
          </w:p>
        </w:tc>
        <w:tc>
          <w:tcPr>
            <w:tcW w:w="2449" w:type="dxa"/>
          </w:tcPr>
          <w:p>
            <w:pPr>
              <w:pStyle w:val="19"/>
              <w:spacing w:before="40"/>
              <w:ind w:left="107"/>
              <w:rPr>
                <w:sz w:val="18"/>
              </w:rPr>
            </w:pPr>
            <w:r>
              <w:rPr>
                <w:sz w:val="18"/>
              </w:rPr>
              <w:t>拟供应土地</w:t>
            </w:r>
          </w:p>
        </w:tc>
        <w:tc>
          <w:tcPr>
            <w:tcW w:w="985" w:type="dxa"/>
            <w:vAlign w:val="center"/>
          </w:tcPr>
          <w:p>
            <w:pPr>
              <w:widowControl/>
              <w:jc w:val="center"/>
              <w:textAlignment w:val="center"/>
              <w:rPr>
                <w:rFonts w:asciiTheme="minorEastAsia" w:hAnsiTheme="minorEastAsia"/>
                <w:color w:val="000000"/>
                <w:sz w:val="18"/>
                <w:szCs w:val="15"/>
              </w:rPr>
            </w:pPr>
            <w:r>
              <w:rPr>
                <w:rFonts w:hint="eastAsia" w:ascii="宋体" w:hAnsi="宋体" w:eastAsia="宋体" w:cs="宋体"/>
                <w:color w:val="000000"/>
                <w:kern w:val="0"/>
                <w:sz w:val="18"/>
                <w:szCs w:val="18"/>
                <w:lang w:bidi="ar"/>
              </w:rPr>
              <w:t>351.9842</w:t>
            </w:r>
          </w:p>
        </w:tc>
        <w:tc>
          <w:tcPr>
            <w:tcW w:w="796"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11.42%</w:t>
            </w:r>
          </w:p>
        </w:tc>
        <w:tc>
          <w:tcPr>
            <w:tcW w:w="824"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71.47%</w:t>
            </w:r>
          </w:p>
        </w:tc>
        <w:tc>
          <w:tcPr>
            <w:tcW w:w="811"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89.18%</w:t>
            </w:r>
          </w:p>
        </w:tc>
        <w:tc>
          <w:tcPr>
            <w:tcW w:w="912"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98.84%</w:t>
            </w:r>
          </w:p>
        </w:tc>
        <w:tc>
          <w:tcPr>
            <w:tcW w:w="824" w:type="dxa"/>
            <w:vAlign w:val="center"/>
          </w:tcPr>
          <w:p>
            <w:pPr>
              <w:jc w:val="center"/>
              <w:rPr>
                <w:rFonts w:asciiTheme="minorEastAsia" w:hAnsiTheme="minorEastAsia"/>
                <w:color w:val="000000"/>
                <w:sz w:val="18"/>
                <w:szCs w:val="15"/>
              </w:rPr>
            </w:pPr>
            <w:r>
              <w:rPr>
                <w:rFonts w:hint="eastAsia" w:asciiTheme="minorEastAsia" w:hAnsiTheme="minorEastAsia"/>
                <w:color w:val="000000"/>
                <w:sz w:val="18"/>
                <w:szCs w:val="15"/>
              </w:rPr>
              <w:t>100.00%</w:t>
            </w:r>
          </w:p>
        </w:tc>
        <w:tc>
          <w:tcPr>
            <w:tcW w:w="739" w:type="dxa"/>
            <w:vAlign w:val="center"/>
          </w:tcPr>
          <w:p>
            <w:pPr>
              <w:jc w:val="center"/>
              <w:rPr>
                <w:rFonts w:asciiTheme="minorEastAsia" w:hAnsiTheme="minorEastAsia"/>
                <w:color w:val="000000"/>
                <w:sz w:val="18"/>
                <w:szCs w:val="15"/>
              </w:rPr>
            </w:pPr>
          </w:p>
        </w:tc>
        <w:tc>
          <w:tcPr>
            <w:tcW w:w="690" w:type="dxa"/>
            <w:vAlign w:val="center"/>
          </w:tcPr>
          <w:p>
            <w:pPr>
              <w:jc w:val="center"/>
              <w:rPr>
                <w:rFonts w:asciiTheme="minorEastAsia" w:hAnsiTheme="minorEastAsia"/>
                <w:color w:val="000000"/>
                <w:sz w:val="18"/>
                <w:szCs w:val="15"/>
              </w:rPr>
            </w:pPr>
          </w:p>
        </w:tc>
        <w:tc>
          <w:tcPr>
            <w:tcW w:w="565" w:type="dxa"/>
            <w:vAlign w:val="center"/>
          </w:tcPr>
          <w:p>
            <w:pPr>
              <w:pStyle w:val="19"/>
              <w:jc w:val="center"/>
              <w:rPr>
                <w:rFonts w:asciiTheme="minorEastAsia" w:hAnsiTheme="minorEastAsia" w:eastAsiaTheme="minorEastAsia" w:cs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32" w:type="dxa"/>
            <w:vMerge w:val="continue"/>
            <w:tcBorders>
              <w:top w:val="nil"/>
            </w:tcBorders>
          </w:tcPr>
          <w:p>
            <w:pPr>
              <w:rPr>
                <w:sz w:val="2"/>
                <w:szCs w:val="2"/>
              </w:rPr>
            </w:pPr>
          </w:p>
        </w:tc>
        <w:tc>
          <w:tcPr>
            <w:tcW w:w="2449" w:type="dxa"/>
          </w:tcPr>
          <w:p>
            <w:pPr>
              <w:pStyle w:val="19"/>
              <w:spacing w:before="40"/>
              <w:ind w:left="107"/>
              <w:rPr>
                <w:sz w:val="18"/>
              </w:rPr>
            </w:pPr>
            <w:r>
              <w:rPr>
                <w:sz w:val="18"/>
              </w:rPr>
              <w:t>拟完成项目建设</w:t>
            </w:r>
          </w:p>
        </w:tc>
        <w:tc>
          <w:tcPr>
            <w:tcW w:w="985" w:type="dxa"/>
            <w:vAlign w:val="center"/>
          </w:tcPr>
          <w:p>
            <w:pPr>
              <w:widowControl/>
              <w:jc w:val="center"/>
              <w:textAlignment w:val="center"/>
              <w:rPr>
                <w:rFonts w:asciiTheme="minorEastAsia" w:hAnsiTheme="minorEastAsia"/>
                <w:color w:val="000000"/>
                <w:sz w:val="18"/>
                <w:szCs w:val="15"/>
              </w:rPr>
            </w:pPr>
            <w:r>
              <w:rPr>
                <w:rFonts w:hint="eastAsia" w:ascii="宋体" w:hAnsi="宋体" w:eastAsia="宋体" w:cs="宋体"/>
                <w:color w:val="000000"/>
                <w:kern w:val="0"/>
                <w:sz w:val="18"/>
                <w:szCs w:val="18"/>
                <w:lang w:bidi="ar"/>
              </w:rPr>
              <w:t>360.1937</w:t>
            </w:r>
          </w:p>
        </w:tc>
        <w:tc>
          <w:tcPr>
            <w:tcW w:w="796"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0.19</w:t>
            </w:r>
            <w:r>
              <w:rPr>
                <w:rFonts w:asciiTheme="minorEastAsia" w:hAnsiTheme="minorEastAsia"/>
                <w:color w:val="000000"/>
                <w:sz w:val="18"/>
                <w:szCs w:val="15"/>
              </w:rPr>
              <w:t>%</w:t>
            </w:r>
          </w:p>
        </w:tc>
        <w:tc>
          <w:tcPr>
            <w:tcW w:w="824"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2.54</w:t>
            </w:r>
            <w:r>
              <w:rPr>
                <w:rFonts w:asciiTheme="minorEastAsia" w:hAnsiTheme="minorEastAsia"/>
                <w:color w:val="000000"/>
                <w:sz w:val="18"/>
                <w:szCs w:val="15"/>
              </w:rPr>
              <w:t>%</w:t>
            </w:r>
          </w:p>
        </w:tc>
        <w:tc>
          <w:tcPr>
            <w:tcW w:w="811" w:type="dxa"/>
            <w:vAlign w:val="center"/>
          </w:tcPr>
          <w:p>
            <w:pPr>
              <w:widowControl/>
              <w:jc w:val="center"/>
              <w:textAlignment w:val="center"/>
              <w:rPr>
                <w:rFonts w:asciiTheme="minorEastAsia" w:hAnsiTheme="minorEastAsia"/>
                <w:color w:val="000000"/>
                <w:sz w:val="18"/>
                <w:szCs w:val="15"/>
              </w:rPr>
            </w:pPr>
            <w:r>
              <w:rPr>
                <w:rFonts w:asciiTheme="minorEastAsia" w:hAnsiTheme="minorEastAsia"/>
                <w:color w:val="000000"/>
                <w:sz w:val="18"/>
                <w:szCs w:val="15"/>
              </w:rPr>
              <w:t>29</w:t>
            </w:r>
            <w:r>
              <w:rPr>
                <w:rFonts w:hint="eastAsia" w:asciiTheme="minorEastAsia" w:hAnsiTheme="minorEastAsia"/>
                <w:color w:val="000000"/>
                <w:sz w:val="18"/>
                <w:szCs w:val="15"/>
              </w:rPr>
              <w:t>.41</w:t>
            </w:r>
            <w:r>
              <w:rPr>
                <w:rFonts w:asciiTheme="minorEastAsia" w:hAnsiTheme="minorEastAsia"/>
                <w:color w:val="000000"/>
                <w:sz w:val="18"/>
                <w:szCs w:val="15"/>
              </w:rPr>
              <w:t>%</w:t>
            </w:r>
          </w:p>
        </w:tc>
        <w:tc>
          <w:tcPr>
            <w:tcW w:w="912"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17.77</w:t>
            </w:r>
            <w:r>
              <w:rPr>
                <w:rFonts w:asciiTheme="minorEastAsia" w:hAnsiTheme="minorEastAsia"/>
                <w:color w:val="000000"/>
                <w:sz w:val="18"/>
                <w:szCs w:val="15"/>
              </w:rPr>
              <w:t>%</w:t>
            </w:r>
          </w:p>
        </w:tc>
        <w:tc>
          <w:tcPr>
            <w:tcW w:w="824"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51.76</w:t>
            </w:r>
            <w:r>
              <w:rPr>
                <w:rFonts w:asciiTheme="minorEastAsia" w:hAnsiTheme="minorEastAsia"/>
                <w:color w:val="000000"/>
                <w:sz w:val="18"/>
                <w:szCs w:val="15"/>
              </w:rPr>
              <w:t>%</w:t>
            </w:r>
          </w:p>
        </w:tc>
        <w:tc>
          <w:tcPr>
            <w:tcW w:w="739"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78.22</w:t>
            </w:r>
            <w:r>
              <w:rPr>
                <w:rFonts w:asciiTheme="minorEastAsia" w:hAnsiTheme="minorEastAsia"/>
                <w:color w:val="000000"/>
                <w:sz w:val="18"/>
                <w:szCs w:val="15"/>
              </w:rPr>
              <w:t>%</w:t>
            </w:r>
          </w:p>
        </w:tc>
        <w:tc>
          <w:tcPr>
            <w:tcW w:w="690" w:type="dxa"/>
            <w:vAlign w:val="center"/>
          </w:tcPr>
          <w:p>
            <w:pPr>
              <w:widowControl/>
              <w:jc w:val="center"/>
              <w:textAlignment w:val="center"/>
              <w:rPr>
                <w:rFonts w:asciiTheme="minorEastAsia" w:hAnsiTheme="minorEastAsia"/>
                <w:color w:val="000000"/>
                <w:sz w:val="18"/>
                <w:szCs w:val="15"/>
              </w:rPr>
            </w:pPr>
            <w:r>
              <w:rPr>
                <w:rFonts w:hint="eastAsia" w:asciiTheme="minorEastAsia" w:hAnsiTheme="minorEastAsia"/>
                <w:color w:val="000000"/>
                <w:sz w:val="18"/>
                <w:szCs w:val="15"/>
              </w:rPr>
              <w:t>100.00%</w:t>
            </w:r>
          </w:p>
        </w:tc>
        <w:tc>
          <w:tcPr>
            <w:tcW w:w="565" w:type="dxa"/>
            <w:vAlign w:val="center"/>
          </w:tcPr>
          <w:p>
            <w:pPr>
              <w:pStyle w:val="19"/>
              <w:jc w:val="center"/>
              <w:rPr>
                <w:rFonts w:asciiTheme="minorEastAsia" w:hAnsiTheme="minorEastAsia" w:eastAsiaTheme="minorEastAsia" w:cstheme="minorEastAsia"/>
                <w:sz w:val="15"/>
                <w:szCs w:val="15"/>
              </w:rPr>
            </w:pPr>
          </w:p>
        </w:tc>
      </w:tr>
    </w:tbl>
    <w:p>
      <w:pPr>
        <w:spacing w:before="41"/>
        <w:ind w:right="1362"/>
        <w:rPr>
          <w:rFonts w:ascii="宋体" w:eastAsia="宋体"/>
          <w:sz w:val="18"/>
        </w:rPr>
      </w:pPr>
    </w:p>
    <w:p>
      <w:pPr>
        <w:jc w:val="right"/>
        <w:rPr>
          <w:rFonts w:ascii="宋体" w:eastAsia="宋体"/>
          <w:sz w:val="18"/>
        </w:rPr>
        <w:sectPr>
          <w:pgSz w:w="11910" w:h="16840"/>
          <w:pgMar w:top="1580" w:right="680" w:bottom="280" w:left="1220" w:header="720" w:footer="720" w:gutter="0"/>
          <w:cols w:space="720" w:num="1"/>
        </w:sectPr>
      </w:pPr>
    </w:p>
    <w:p>
      <w:pPr>
        <w:tabs>
          <w:tab w:val="left" w:pos="1051"/>
        </w:tabs>
        <w:ind w:right="477"/>
        <w:jc w:val="center"/>
        <w:rPr>
          <w:rFonts w:ascii="黑体" w:eastAsia="黑体"/>
          <w:sz w:val="28"/>
        </w:rPr>
      </w:pPr>
      <w:r>
        <w:rPr>
          <w:rFonts w:hint="eastAsia" w:ascii="黑体" w:eastAsia="黑体"/>
          <w:sz w:val="28"/>
        </w:rPr>
        <w:t>表4 已批准土地征收成片开发方案年度实施计划执行情况统计表</w:t>
      </w:r>
    </w:p>
    <w:p>
      <w:pPr>
        <w:tabs>
          <w:tab w:val="left" w:pos="1051"/>
        </w:tabs>
        <w:spacing w:before="240" w:beforeLines="100" w:after="240" w:afterLines="100"/>
        <w:ind w:right="476"/>
        <w:jc w:val="right"/>
        <w:rPr>
          <w:rFonts w:ascii="宋体" w:hAnsi="宋体" w:eastAsia="宋体" w:cs="宋体"/>
          <w:sz w:val="18"/>
          <w:szCs w:val="18"/>
        </w:rPr>
      </w:pPr>
      <w:r>
        <w:rPr>
          <w:rFonts w:hint="eastAsia" w:ascii="宋体" w:hAnsi="宋体" w:eastAsia="宋体" w:cs="宋体"/>
          <w:sz w:val="18"/>
          <w:szCs w:val="18"/>
        </w:rPr>
        <w:t>单位：公顷（0.0000）、个、户、人</w:t>
      </w:r>
    </w:p>
    <w:p>
      <w:pPr>
        <w:tabs>
          <w:tab w:val="left" w:pos="1051"/>
        </w:tabs>
        <w:ind w:right="477"/>
        <w:jc w:val="center"/>
        <w:rPr>
          <w:rFonts w:ascii="黑体" w:eastAsia="黑体"/>
          <w:sz w:val="28"/>
        </w:rPr>
      </w:pPr>
    </w:p>
    <w:p>
      <w:pPr>
        <w:tabs>
          <w:tab w:val="left" w:pos="1051"/>
        </w:tabs>
        <w:ind w:right="477"/>
        <w:jc w:val="left"/>
        <w:rPr>
          <w:rFonts w:ascii="宋体" w:hAnsi="宋体" w:eastAsia="宋体" w:cs="宋体"/>
          <w:sz w:val="18"/>
          <w:szCs w:val="18"/>
        </w:rPr>
      </w:pPr>
    </w:p>
    <w:p>
      <w:pPr>
        <w:tabs>
          <w:tab w:val="left" w:pos="1051"/>
        </w:tabs>
        <w:ind w:right="477"/>
        <w:jc w:val="left"/>
        <w:rPr>
          <w:rFonts w:ascii="宋体" w:hAnsi="宋体" w:eastAsia="宋体" w:cs="宋体"/>
          <w:sz w:val="18"/>
          <w:szCs w:val="18"/>
        </w:rPr>
      </w:pPr>
    </w:p>
    <w:tbl>
      <w:tblPr>
        <w:tblStyle w:val="14"/>
        <w:tblpPr w:leftFromText="180" w:rightFromText="180" w:vertAnchor="page" w:horzAnchor="page" w:tblpXSpec="center" w:tblpY="2756"/>
        <w:tblOverlap w:val="never"/>
        <w:tblW w:w="91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0"/>
        <w:gridCol w:w="1563"/>
        <w:gridCol w:w="862"/>
        <w:gridCol w:w="888"/>
        <w:gridCol w:w="950"/>
        <w:gridCol w:w="875"/>
        <w:gridCol w:w="937"/>
        <w:gridCol w:w="863"/>
        <w:gridCol w:w="1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vMerge w:val="restart"/>
            <w:vAlign w:val="center"/>
          </w:tcPr>
          <w:p>
            <w:pPr>
              <w:pStyle w:val="19"/>
              <w:spacing w:before="86"/>
              <w:jc w:val="center"/>
              <w:rPr>
                <w:sz w:val="18"/>
              </w:rPr>
            </w:pPr>
            <w:r>
              <w:rPr>
                <w:rFonts w:hint="eastAsia"/>
                <w:sz w:val="18"/>
              </w:rPr>
              <w:t>序号</w:t>
            </w:r>
          </w:p>
        </w:tc>
        <w:tc>
          <w:tcPr>
            <w:tcW w:w="1563" w:type="dxa"/>
            <w:vMerge w:val="restart"/>
            <w:vAlign w:val="center"/>
          </w:tcPr>
          <w:p>
            <w:pPr>
              <w:pStyle w:val="19"/>
              <w:jc w:val="center"/>
              <w:rPr>
                <w:rFonts w:ascii="Times New Roman"/>
                <w:sz w:val="18"/>
              </w:rPr>
            </w:pPr>
            <w:r>
              <w:rPr>
                <w:rFonts w:hint="eastAsia" w:ascii="Times New Roman"/>
                <w:sz w:val="18"/>
              </w:rPr>
              <w:t>方案名称</w:t>
            </w:r>
          </w:p>
        </w:tc>
        <w:tc>
          <w:tcPr>
            <w:tcW w:w="6437" w:type="dxa"/>
            <w:gridSpan w:val="7"/>
            <w:vAlign w:val="center"/>
          </w:tcPr>
          <w:p>
            <w:pPr>
              <w:pStyle w:val="19"/>
              <w:jc w:val="center"/>
              <w:rPr>
                <w:rFonts w:ascii="Times New Roman"/>
                <w:sz w:val="18"/>
              </w:rPr>
            </w:pPr>
            <w:r>
              <w:rPr>
                <w:rFonts w:hint="eastAsia" w:ascii="Times New Roman"/>
                <w:sz w:val="18"/>
              </w:rPr>
              <w:t>土地征收计划执行情况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vMerge w:val="continue"/>
            <w:vAlign w:val="center"/>
          </w:tcPr>
          <w:p>
            <w:pPr>
              <w:pStyle w:val="19"/>
              <w:spacing w:before="86"/>
              <w:ind w:left="107"/>
              <w:jc w:val="center"/>
              <w:rPr>
                <w:sz w:val="18"/>
              </w:rPr>
            </w:pPr>
          </w:p>
        </w:tc>
        <w:tc>
          <w:tcPr>
            <w:tcW w:w="1563" w:type="dxa"/>
            <w:vMerge w:val="continue"/>
            <w:vAlign w:val="center"/>
          </w:tcPr>
          <w:p>
            <w:pPr>
              <w:pStyle w:val="19"/>
              <w:jc w:val="center"/>
              <w:rPr>
                <w:rFonts w:ascii="Times New Roman"/>
                <w:sz w:val="18"/>
              </w:rPr>
            </w:pPr>
          </w:p>
        </w:tc>
        <w:tc>
          <w:tcPr>
            <w:tcW w:w="862" w:type="dxa"/>
            <w:vAlign w:val="center"/>
          </w:tcPr>
          <w:p>
            <w:pPr>
              <w:pStyle w:val="19"/>
              <w:jc w:val="center"/>
              <w:rPr>
                <w:rFonts w:ascii="Times New Roman"/>
                <w:sz w:val="18"/>
              </w:rPr>
            </w:pPr>
            <w:r>
              <w:rPr>
                <w:rFonts w:hint="eastAsia" w:ascii="Times New Roman"/>
                <w:sz w:val="18"/>
              </w:rPr>
              <w:t>计划征地面积</w:t>
            </w:r>
          </w:p>
        </w:tc>
        <w:tc>
          <w:tcPr>
            <w:tcW w:w="888" w:type="dxa"/>
            <w:vAlign w:val="center"/>
          </w:tcPr>
          <w:p>
            <w:pPr>
              <w:pStyle w:val="19"/>
              <w:jc w:val="center"/>
              <w:rPr>
                <w:rFonts w:ascii="Times New Roman"/>
                <w:sz w:val="18"/>
              </w:rPr>
            </w:pPr>
            <w:r>
              <w:rPr>
                <w:rFonts w:hint="eastAsia" w:ascii="Times New Roman"/>
                <w:sz w:val="18"/>
              </w:rPr>
              <w:t>已批准征地面积</w:t>
            </w:r>
          </w:p>
        </w:tc>
        <w:tc>
          <w:tcPr>
            <w:tcW w:w="950" w:type="dxa"/>
            <w:vAlign w:val="center"/>
          </w:tcPr>
          <w:p>
            <w:pPr>
              <w:pStyle w:val="19"/>
              <w:jc w:val="center"/>
              <w:rPr>
                <w:rFonts w:ascii="Times New Roman"/>
                <w:sz w:val="18"/>
              </w:rPr>
            </w:pPr>
            <w:r>
              <w:rPr>
                <w:rFonts w:hint="eastAsia" w:ascii="Times New Roman"/>
                <w:sz w:val="18"/>
              </w:rPr>
              <w:t>实施完成征地面积</w:t>
            </w:r>
          </w:p>
        </w:tc>
        <w:tc>
          <w:tcPr>
            <w:tcW w:w="875" w:type="dxa"/>
            <w:vAlign w:val="center"/>
          </w:tcPr>
          <w:p>
            <w:pPr>
              <w:pStyle w:val="19"/>
              <w:jc w:val="center"/>
              <w:rPr>
                <w:rFonts w:ascii="Times New Roman"/>
                <w:sz w:val="18"/>
              </w:rPr>
            </w:pPr>
            <w:r>
              <w:rPr>
                <w:rFonts w:hint="eastAsia" w:ascii="Times New Roman"/>
                <w:sz w:val="18"/>
              </w:rPr>
              <w:t>已支付征地资金</w:t>
            </w:r>
          </w:p>
        </w:tc>
        <w:tc>
          <w:tcPr>
            <w:tcW w:w="937" w:type="dxa"/>
            <w:vAlign w:val="center"/>
          </w:tcPr>
          <w:p>
            <w:pPr>
              <w:pStyle w:val="19"/>
              <w:jc w:val="center"/>
              <w:rPr>
                <w:rFonts w:ascii="Times New Roman"/>
                <w:sz w:val="18"/>
              </w:rPr>
            </w:pPr>
            <w:r>
              <w:rPr>
                <w:rFonts w:hint="eastAsia" w:ascii="Times New Roman"/>
                <w:sz w:val="18"/>
              </w:rPr>
              <w:t>已拆迁农村房屋户数</w:t>
            </w:r>
          </w:p>
        </w:tc>
        <w:tc>
          <w:tcPr>
            <w:tcW w:w="863" w:type="dxa"/>
            <w:vAlign w:val="center"/>
          </w:tcPr>
          <w:p>
            <w:pPr>
              <w:pStyle w:val="19"/>
              <w:jc w:val="center"/>
              <w:rPr>
                <w:rFonts w:ascii="Times New Roman"/>
                <w:sz w:val="18"/>
              </w:rPr>
            </w:pPr>
            <w:r>
              <w:rPr>
                <w:rFonts w:hint="eastAsia" w:ascii="Times New Roman"/>
                <w:sz w:val="18"/>
              </w:rPr>
              <w:t>已完成安置户数</w:t>
            </w:r>
          </w:p>
        </w:tc>
        <w:tc>
          <w:tcPr>
            <w:tcW w:w="1062" w:type="dxa"/>
            <w:vAlign w:val="center"/>
          </w:tcPr>
          <w:p>
            <w:pPr>
              <w:pStyle w:val="19"/>
              <w:jc w:val="center"/>
              <w:rPr>
                <w:rFonts w:ascii="Times New Roman"/>
                <w:sz w:val="18"/>
              </w:rPr>
            </w:pPr>
            <w:r>
              <w:rPr>
                <w:rFonts w:hint="eastAsia" w:ascii="Times New Roman"/>
                <w:sz w:val="18"/>
              </w:rPr>
              <w:t>已安排被征地农民养老保障人数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r>
              <w:rPr>
                <w:sz w:val="18"/>
              </w:rPr>
              <mc:AlternateContent>
                <mc:Choice Requires="wps">
                  <w:drawing>
                    <wp:anchor distT="0" distB="0" distL="114300" distR="114300" simplePos="0" relativeHeight="251660288" behindDoc="0" locked="0" layoutInCell="1" allowOverlap="1">
                      <wp:simplePos x="0" y="0"/>
                      <wp:positionH relativeFrom="column">
                        <wp:posOffset>842010</wp:posOffset>
                      </wp:positionH>
                      <wp:positionV relativeFrom="paragraph">
                        <wp:posOffset>28575</wp:posOffset>
                      </wp:positionV>
                      <wp:extent cx="2628900" cy="7905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62890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72"/>
                                    </w:rPr>
                                  </w:pPr>
                                  <w:r>
                                    <w:rPr>
                                      <w:rFonts w:hint="eastAsia"/>
                                      <w:sz w:val="72"/>
                                    </w:rPr>
                                    <w:t>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3pt;margin-top:2.25pt;height:62.25pt;width:207pt;z-index:251660288;mso-width-relative:page;mso-height-relative:page;" filled="f" stroked="f" coordsize="21600,21600" o:gfxdata="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aPZO2QAAAAkBAAAPAAAAAAAAAAEAIAAAACIA&#10;AABkcnMvZG93bnJldi54bWxQSwECFAAUAAAACACHTuJAhE7gC0ECAAB0BAAADgAAAAAAAAABACAA&#10;AAAoAQAAZHJzL2Uyb0RvYy54bWxQSwUGAAAAAAYABgBZAQAA2wUAAAAA&#10;">
                      <v:fill on="f" focussize="0,0"/>
                      <v:stroke on="f" weight="0.5pt"/>
                      <v:imagedata o:title=""/>
                      <o:lock v:ext="edit" aspectratio="f"/>
                      <v:textbox>
                        <w:txbxContent>
                          <w:p>
                            <w:pPr>
                              <w:rPr>
                                <w:sz w:val="72"/>
                              </w:rPr>
                            </w:pPr>
                            <w:r>
                              <w:rPr>
                                <w:rFonts w:hint="eastAsia"/>
                                <w:sz w:val="72"/>
                              </w:rPr>
                              <w:t>无</w:t>
                            </w:r>
                          </w:p>
                        </w:txbxContent>
                      </v:textbox>
                    </v:shape>
                  </w:pict>
                </mc:Fallback>
              </mc:AlternateContent>
            </w: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100" w:type="dxa"/>
          </w:tcPr>
          <w:p>
            <w:pPr>
              <w:pStyle w:val="19"/>
              <w:spacing w:before="86"/>
              <w:jc w:val="center"/>
              <w:rPr>
                <w:sz w:val="18"/>
              </w:rPr>
            </w:pPr>
          </w:p>
        </w:tc>
        <w:tc>
          <w:tcPr>
            <w:tcW w:w="1563" w:type="dxa"/>
          </w:tcPr>
          <w:p>
            <w:pPr>
              <w:pStyle w:val="19"/>
              <w:spacing w:before="86"/>
              <w:jc w:val="center"/>
              <w:rPr>
                <w:sz w:val="18"/>
              </w:rPr>
            </w:pPr>
          </w:p>
        </w:tc>
        <w:tc>
          <w:tcPr>
            <w:tcW w:w="862" w:type="dxa"/>
          </w:tcPr>
          <w:p>
            <w:pPr>
              <w:pStyle w:val="19"/>
              <w:spacing w:before="86"/>
              <w:jc w:val="center"/>
              <w:rPr>
                <w:sz w:val="18"/>
              </w:rPr>
            </w:pPr>
          </w:p>
        </w:tc>
        <w:tc>
          <w:tcPr>
            <w:tcW w:w="888" w:type="dxa"/>
          </w:tcPr>
          <w:p>
            <w:pPr>
              <w:pStyle w:val="19"/>
              <w:spacing w:before="86"/>
              <w:jc w:val="center"/>
              <w:rPr>
                <w:sz w:val="18"/>
              </w:rPr>
            </w:pPr>
          </w:p>
        </w:tc>
        <w:tc>
          <w:tcPr>
            <w:tcW w:w="950" w:type="dxa"/>
          </w:tcPr>
          <w:p>
            <w:pPr>
              <w:pStyle w:val="19"/>
              <w:spacing w:before="86"/>
              <w:jc w:val="center"/>
              <w:rPr>
                <w:sz w:val="18"/>
              </w:rPr>
            </w:pPr>
          </w:p>
        </w:tc>
        <w:tc>
          <w:tcPr>
            <w:tcW w:w="875" w:type="dxa"/>
          </w:tcPr>
          <w:p>
            <w:pPr>
              <w:pStyle w:val="19"/>
              <w:spacing w:before="86"/>
              <w:jc w:val="center"/>
              <w:rPr>
                <w:sz w:val="18"/>
              </w:rPr>
            </w:pPr>
          </w:p>
        </w:tc>
        <w:tc>
          <w:tcPr>
            <w:tcW w:w="937" w:type="dxa"/>
          </w:tcPr>
          <w:p>
            <w:pPr>
              <w:pStyle w:val="19"/>
              <w:spacing w:before="86"/>
              <w:jc w:val="center"/>
              <w:rPr>
                <w:sz w:val="18"/>
              </w:rPr>
            </w:pPr>
          </w:p>
        </w:tc>
        <w:tc>
          <w:tcPr>
            <w:tcW w:w="863" w:type="dxa"/>
          </w:tcPr>
          <w:p>
            <w:pPr>
              <w:pStyle w:val="19"/>
              <w:spacing w:before="86"/>
              <w:jc w:val="center"/>
              <w:rPr>
                <w:sz w:val="18"/>
              </w:rPr>
            </w:pPr>
          </w:p>
        </w:tc>
        <w:tc>
          <w:tcPr>
            <w:tcW w:w="1062" w:type="dxa"/>
          </w:tcPr>
          <w:p>
            <w:pPr>
              <w:pStyle w:val="19"/>
              <w:spacing w:before="86"/>
              <w:jc w:val="center"/>
              <w:rPr>
                <w:sz w:val="18"/>
              </w:rPr>
            </w:pPr>
          </w:p>
        </w:tc>
      </w:tr>
    </w:tbl>
    <w:p>
      <w:pPr>
        <w:tabs>
          <w:tab w:val="left" w:pos="1051"/>
        </w:tabs>
        <w:ind w:right="477"/>
        <w:jc w:val="left"/>
        <w:rPr>
          <w:rFonts w:ascii="宋体" w:hAnsi="宋体" w:eastAsia="宋体" w:cs="宋体"/>
          <w:sz w:val="18"/>
          <w:szCs w:val="18"/>
        </w:rPr>
        <w:sectPr>
          <w:pgSz w:w="11910" w:h="16840"/>
          <w:pgMar w:top="1580" w:right="680" w:bottom="280" w:left="1220" w:header="720" w:footer="720" w:gutter="0"/>
          <w:cols w:space="720" w:num="1"/>
        </w:sectPr>
      </w:pPr>
    </w:p>
    <w:p>
      <w:pPr>
        <w:tabs>
          <w:tab w:val="left" w:pos="1051"/>
        </w:tabs>
        <w:ind w:right="-58"/>
        <w:jc w:val="center"/>
        <w:rPr>
          <w:rFonts w:ascii="黑体" w:eastAsia="黑体"/>
          <w:sz w:val="24"/>
        </w:rPr>
      </w:pPr>
      <w:r>
        <w:rPr>
          <w:rFonts w:hint="eastAsia" w:ascii="黑体" w:eastAsia="黑体"/>
          <w:sz w:val="24"/>
        </w:rPr>
        <w:t>表5 以土地征收成片开发情形或承诺纳入土地征收成片开发基本信息表</w:t>
      </w:r>
    </w:p>
    <w:p>
      <w:pPr>
        <w:autoSpaceDE w:val="0"/>
        <w:autoSpaceDN w:val="0"/>
        <w:spacing w:before="156" w:beforeLines="50" w:after="156" w:afterLines="50" w:line="360" w:lineRule="auto"/>
        <w:jc w:val="right"/>
        <w:rPr>
          <w:rFonts w:ascii="宋体" w:hAnsi="宋体" w:eastAsia="宋体" w:cs="宋体"/>
          <w:szCs w:val="21"/>
        </w:rPr>
      </w:pPr>
      <w:r>
        <w:rPr>
          <w:rFonts w:hint="eastAsia" w:ascii="宋体" w:hAnsi="宋体" w:eastAsia="宋体" w:cs="宋体"/>
          <w:szCs w:val="21"/>
        </w:rPr>
        <w:t>单位：公顷（0.0000）</w:t>
      </w:r>
    </w:p>
    <w:tbl>
      <w:tblPr>
        <w:tblStyle w:val="1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319"/>
        <w:gridCol w:w="1034"/>
        <w:gridCol w:w="1333"/>
        <w:gridCol w:w="850"/>
        <w:gridCol w:w="993"/>
        <w:gridCol w:w="850"/>
        <w:gridCol w:w="852"/>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blHeader/>
          <w:jc w:val="center"/>
        </w:trPr>
        <w:tc>
          <w:tcPr>
            <w:tcW w:w="437"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序号</w:t>
            </w:r>
          </w:p>
        </w:tc>
        <w:tc>
          <w:tcPr>
            <w:tcW w:w="1319"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地块名称</w:t>
            </w:r>
          </w:p>
        </w:tc>
        <w:tc>
          <w:tcPr>
            <w:tcW w:w="1034"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位置坐落</w:t>
            </w:r>
          </w:p>
        </w:tc>
        <w:tc>
          <w:tcPr>
            <w:tcW w:w="1333"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已批准批次名称</w:t>
            </w:r>
          </w:p>
        </w:tc>
        <w:tc>
          <w:tcPr>
            <w:tcW w:w="850"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地块批准面积</w:t>
            </w:r>
          </w:p>
        </w:tc>
        <w:tc>
          <w:tcPr>
            <w:tcW w:w="993"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其中征收集体土地面积</w:t>
            </w:r>
          </w:p>
        </w:tc>
        <w:tc>
          <w:tcPr>
            <w:tcW w:w="850"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是否符合国土空间规划</w:t>
            </w:r>
          </w:p>
        </w:tc>
        <w:tc>
          <w:tcPr>
            <w:tcW w:w="852"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是否占用永久基本农田</w:t>
            </w:r>
          </w:p>
        </w:tc>
        <w:tc>
          <w:tcPr>
            <w:tcW w:w="1512"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autoSpaceDE w:val="0"/>
              <w:autoSpaceDN w:val="0"/>
              <w:spacing w:before="156" w:beforeLines="50" w:after="156" w:afterLines="50"/>
              <w:jc w:val="center"/>
              <w:rPr>
                <w:rFonts w:ascii="宋体" w:hAnsi="宋体" w:eastAsia="宋体" w:cs="宋体"/>
                <w:sz w:val="18"/>
                <w:szCs w:val="18"/>
              </w:rPr>
            </w:pPr>
            <w:r>
              <w:rPr>
                <w:rFonts w:hint="eastAsia" w:ascii="宋体" w:hAnsi="宋体" w:eastAsia="宋体" w:cs="宋体"/>
                <w:sz w:val="18"/>
                <w:szCs w:val="18"/>
              </w:rPr>
              <w:t>1</w:t>
            </w:r>
          </w:p>
        </w:tc>
        <w:tc>
          <w:tcPr>
            <w:tcW w:w="1319"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人才公寓（一期）地块</w:t>
            </w:r>
          </w:p>
        </w:tc>
        <w:tc>
          <w:tcPr>
            <w:tcW w:w="1034"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瞻岐镇合一村</w:t>
            </w:r>
          </w:p>
        </w:tc>
        <w:tc>
          <w:tcPr>
            <w:tcW w:w="133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宁波市2020年度计划第九批次建设用地</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0.0740 </w:t>
            </w:r>
          </w:p>
        </w:tc>
        <w:tc>
          <w:tcPr>
            <w:tcW w:w="99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0.0740 </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是</w:t>
            </w:r>
          </w:p>
        </w:tc>
        <w:tc>
          <w:tcPr>
            <w:tcW w:w="85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否</w:t>
            </w:r>
          </w:p>
        </w:tc>
        <w:tc>
          <w:tcPr>
            <w:tcW w:w="151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承诺纳入土地征收成片开发情形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2</w:t>
            </w:r>
          </w:p>
        </w:tc>
        <w:tc>
          <w:tcPr>
            <w:tcW w:w="1319"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姜山镇核心9号C、D地块</w:t>
            </w:r>
          </w:p>
        </w:tc>
        <w:tc>
          <w:tcPr>
            <w:tcW w:w="1034"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姜山镇乔里、姜山头村</w:t>
            </w:r>
          </w:p>
        </w:tc>
        <w:tc>
          <w:tcPr>
            <w:tcW w:w="133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宁波市2020年度计划第九批次建设用地</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3.3344 </w:t>
            </w:r>
          </w:p>
        </w:tc>
        <w:tc>
          <w:tcPr>
            <w:tcW w:w="99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3.3344 </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是</w:t>
            </w:r>
          </w:p>
        </w:tc>
        <w:tc>
          <w:tcPr>
            <w:tcW w:w="85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否</w:t>
            </w:r>
          </w:p>
        </w:tc>
        <w:tc>
          <w:tcPr>
            <w:tcW w:w="151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承诺纳入土地征收成片开发情形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3</w:t>
            </w:r>
          </w:p>
        </w:tc>
        <w:tc>
          <w:tcPr>
            <w:tcW w:w="1319"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邻里中心西侧地块</w:t>
            </w:r>
          </w:p>
        </w:tc>
        <w:tc>
          <w:tcPr>
            <w:tcW w:w="1034"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下应街道河西村</w:t>
            </w:r>
          </w:p>
        </w:tc>
        <w:tc>
          <w:tcPr>
            <w:tcW w:w="133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宁波市2020年度计划第九批次建设用地</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1.4020 </w:t>
            </w:r>
          </w:p>
        </w:tc>
        <w:tc>
          <w:tcPr>
            <w:tcW w:w="99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1.4020 </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是</w:t>
            </w:r>
          </w:p>
        </w:tc>
        <w:tc>
          <w:tcPr>
            <w:tcW w:w="85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否</w:t>
            </w:r>
          </w:p>
        </w:tc>
        <w:tc>
          <w:tcPr>
            <w:tcW w:w="151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承诺纳入土地征收成片开发情形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4</w:t>
            </w:r>
          </w:p>
        </w:tc>
        <w:tc>
          <w:tcPr>
            <w:tcW w:w="1319"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DQH12-04-f1局部地块</w:t>
            </w:r>
          </w:p>
        </w:tc>
        <w:tc>
          <w:tcPr>
            <w:tcW w:w="1034"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云龙镇顿岙村、王夹岙村、林牧场</w:t>
            </w:r>
          </w:p>
        </w:tc>
        <w:tc>
          <w:tcPr>
            <w:tcW w:w="133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宁波市2020年度计划第九批次建设用地</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0.8458 </w:t>
            </w:r>
          </w:p>
        </w:tc>
        <w:tc>
          <w:tcPr>
            <w:tcW w:w="99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0.8458 </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是</w:t>
            </w:r>
          </w:p>
        </w:tc>
        <w:tc>
          <w:tcPr>
            <w:tcW w:w="85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否</w:t>
            </w:r>
          </w:p>
        </w:tc>
        <w:tc>
          <w:tcPr>
            <w:tcW w:w="151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承诺纳入土地征收成片开发情形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5</w:t>
            </w:r>
          </w:p>
        </w:tc>
        <w:tc>
          <w:tcPr>
            <w:tcW w:w="1319"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鄞州区JK01-02-b3a地块</w:t>
            </w:r>
          </w:p>
        </w:tc>
        <w:tc>
          <w:tcPr>
            <w:tcW w:w="1034"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瞻岐镇合一村</w:t>
            </w:r>
          </w:p>
        </w:tc>
        <w:tc>
          <w:tcPr>
            <w:tcW w:w="133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宁波市2020年度计划第九批次建设用地</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0.9055 </w:t>
            </w:r>
          </w:p>
        </w:tc>
        <w:tc>
          <w:tcPr>
            <w:tcW w:w="99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0.9055 </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是</w:t>
            </w:r>
          </w:p>
        </w:tc>
        <w:tc>
          <w:tcPr>
            <w:tcW w:w="85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否</w:t>
            </w:r>
          </w:p>
        </w:tc>
        <w:tc>
          <w:tcPr>
            <w:tcW w:w="151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承诺纳入土地征收成片开发情形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6</w:t>
            </w:r>
          </w:p>
        </w:tc>
        <w:tc>
          <w:tcPr>
            <w:tcW w:w="1319"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姜山镇核心17号地块</w:t>
            </w:r>
          </w:p>
        </w:tc>
        <w:tc>
          <w:tcPr>
            <w:tcW w:w="1034"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姜山镇良种场</w:t>
            </w:r>
          </w:p>
        </w:tc>
        <w:tc>
          <w:tcPr>
            <w:tcW w:w="133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宁波市2020年度计划第九批次建设用地</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0.3217 </w:t>
            </w:r>
          </w:p>
        </w:tc>
        <w:tc>
          <w:tcPr>
            <w:tcW w:w="99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0.3217 </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是</w:t>
            </w:r>
          </w:p>
        </w:tc>
        <w:tc>
          <w:tcPr>
            <w:tcW w:w="85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否</w:t>
            </w:r>
          </w:p>
        </w:tc>
        <w:tc>
          <w:tcPr>
            <w:tcW w:w="151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承诺纳入土地征收成片开发情形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7</w:t>
            </w:r>
          </w:p>
        </w:tc>
        <w:tc>
          <w:tcPr>
            <w:tcW w:w="1319"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YZ04-09-c2地块（COSTCO项目）</w:t>
            </w:r>
          </w:p>
        </w:tc>
        <w:tc>
          <w:tcPr>
            <w:tcW w:w="1034"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下应街道史家码村</w:t>
            </w:r>
          </w:p>
        </w:tc>
        <w:tc>
          <w:tcPr>
            <w:tcW w:w="133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宁波市2021年度计划第一批次城市建设用地</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3.3979 </w:t>
            </w:r>
          </w:p>
        </w:tc>
        <w:tc>
          <w:tcPr>
            <w:tcW w:w="99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3.1925 </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是</w:t>
            </w:r>
          </w:p>
        </w:tc>
        <w:tc>
          <w:tcPr>
            <w:tcW w:w="85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否</w:t>
            </w:r>
          </w:p>
        </w:tc>
        <w:tc>
          <w:tcPr>
            <w:tcW w:w="151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承诺纳入土地征收成片开发情形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7"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8</w:t>
            </w:r>
          </w:p>
        </w:tc>
        <w:tc>
          <w:tcPr>
            <w:tcW w:w="1319"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蓝青小学西侧地块</w:t>
            </w:r>
          </w:p>
        </w:tc>
        <w:tc>
          <w:tcPr>
            <w:tcW w:w="1034"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下应街道湾底村</w:t>
            </w:r>
          </w:p>
        </w:tc>
        <w:tc>
          <w:tcPr>
            <w:tcW w:w="133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宁波市2021年度计划第二批次城市建设用地</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1.3439 </w:t>
            </w:r>
          </w:p>
        </w:tc>
        <w:tc>
          <w:tcPr>
            <w:tcW w:w="993"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 xml:space="preserve">1.3439 </w:t>
            </w:r>
          </w:p>
        </w:tc>
        <w:tc>
          <w:tcPr>
            <w:tcW w:w="850"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是</w:t>
            </w:r>
          </w:p>
        </w:tc>
        <w:tc>
          <w:tcPr>
            <w:tcW w:w="85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否</w:t>
            </w:r>
          </w:p>
        </w:tc>
        <w:tc>
          <w:tcPr>
            <w:tcW w:w="1512" w:type="dxa"/>
            <w:vAlign w:val="center"/>
          </w:tcPr>
          <w:p>
            <w:pPr>
              <w:autoSpaceDE w:val="0"/>
              <w:autoSpaceDN w:val="0"/>
              <w:spacing w:before="156" w:beforeLines="50" w:after="156" w:afterLines="50"/>
              <w:jc w:val="center"/>
              <w:rPr>
                <w:rFonts w:hint="eastAsia" w:ascii="宋体" w:hAnsi="宋体" w:eastAsia="宋体" w:cs="宋体"/>
                <w:sz w:val="18"/>
                <w:szCs w:val="18"/>
              </w:rPr>
            </w:pPr>
            <w:r>
              <w:rPr>
                <w:rFonts w:hint="eastAsia" w:ascii="宋体" w:hAnsi="宋体" w:eastAsia="宋体" w:cs="宋体"/>
                <w:sz w:val="18"/>
                <w:szCs w:val="18"/>
              </w:rPr>
              <w:t>承诺纳入土地征收成片开发情形</w:t>
            </w:r>
          </w:p>
        </w:tc>
      </w:tr>
    </w:tbl>
    <w:p>
      <w:pPr>
        <w:autoSpaceDE w:val="0"/>
        <w:autoSpaceDN w:val="0"/>
        <w:spacing w:before="156" w:beforeLines="50" w:after="156" w:afterLines="50" w:line="360" w:lineRule="auto"/>
        <w:jc w:val="left"/>
        <w:rPr>
          <w:rFonts w:ascii="宋体" w:hAnsi="宋体" w:eastAsia="宋体" w:cs="宋体"/>
          <w:szCs w:val="21"/>
        </w:rPr>
        <w:sectPr>
          <w:pgSz w:w="11906" w:h="16838"/>
          <w:pgMar w:top="1440" w:right="1800" w:bottom="1440" w:left="1800" w:header="851" w:footer="992" w:gutter="0"/>
          <w:cols w:space="425" w:num="1"/>
          <w:docGrid w:type="lines" w:linePitch="312" w:charSpace="0"/>
        </w:sectPr>
      </w:pPr>
    </w:p>
    <w:p>
      <w:pPr>
        <w:autoSpaceDE w:val="0"/>
        <w:autoSpaceDN w:val="0"/>
        <w:spacing w:line="360" w:lineRule="auto"/>
        <w:jc w:val="left"/>
        <w:rPr>
          <w:rFonts w:ascii="黑体" w:hAnsi="黑体" w:eastAsia="黑体" w:cs="黑体"/>
          <w:sz w:val="32"/>
        </w:rPr>
      </w:pPr>
      <w:r>
        <w:rPr>
          <w:rFonts w:hint="eastAsia" w:ascii="黑体" w:hAnsi="黑体" w:eastAsia="黑体" w:cs="黑体"/>
          <w:sz w:val="32"/>
        </w:rPr>
        <w:t>附图：</w:t>
      </w:r>
    </w:p>
    <w:p>
      <w:pPr>
        <w:widowControl/>
        <w:spacing w:line="360" w:lineRule="auto"/>
        <w:jc w:val="center"/>
        <w:rPr>
          <w:rFonts w:ascii="Times New Roman" w:hAnsi="Times New Roman" w:eastAsia="仿宋_GB2312" w:cs="仿宋"/>
          <w:kern w:val="0"/>
          <w:sz w:val="28"/>
          <w:szCs w:val="30"/>
          <w:lang w:bidi="zh-CN"/>
        </w:rPr>
      </w:pPr>
      <w:r>
        <w:rPr>
          <w:rFonts w:hint="eastAsia" w:ascii="Times New Roman" w:hAnsi="Times New Roman" w:eastAsia="仿宋_GB2312" w:cs="仿宋"/>
          <w:kern w:val="0"/>
          <w:sz w:val="28"/>
          <w:szCs w:val="30"/>
          <w:lang w:bidi="zh-CN"/>
        </w:rPr>
        <w:t>土地征收成片开发方案片区位置示意图</w:t>
      </w:r>
    </w:p>
    <w:p>
      <w:pPr>
        <w:autoSpaceDE w:val="0"/>
        <w:autoSpaceDN w:val="0"/>
        <w:spacing w:line="360" w:lineRule="auto"/>
        <w:jc w:val="center"/>
        <w:rPr>
          <w:rFonts w:ascii="黑体" w:hAnsi="黑体" w:eastAsia="黑体" w:cs="黑体"/>
          <w:sz w:val="28"/>
          <w:szCs w:val="28"/>
        </w:rPr>
      </w:pPr>
      <w:r>
        <w:rPr>
          <w:rFonts w:ascii="黑体" w:hAnsi="黑体" w:eastAsia="黑体" w:cs="黑体"/>
          <w:sz w:val="28"/>
          <w:szCs w:val="28"/>
        </w:rPr>
        <w:drawing>
          <wp:inline distT="0" distB="0" distL="0" distR="0">
            <wp:extent cx="6671310" cy="43992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679512" cy="4404755"/>
                    </a:xfrm>
                    <a:prstGeom prst="rect">
                      <a:avLst/>
                    </a:prstGeom>
                  </pic:spPr>
                </pic:pic>
              </a:graphicData>
            </a:graphic>
          </wp:inline>
        </w:drawing>
      </w:r>
    </w:p>
    <w:sectPr>
      <w:pgSz w:w="16839" w:h="11907"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1915769"/>
      <w:docPartObj>
        <w:docPartGallery w:val="autotext"/>
      </w:docPartObj>
    </w:sdtPr>
    <w:sdtContent>
      <w:p>
        <w:pPr>
          <w:pStyle w:val="9"/>
          <w:jc w:val="center"/>
        </w:pPr>
        <w:r>
          <w:fldChar w:fldCharType="begin"/>
        </w:r>
        <w:r>
          <w:instrText xml:space="preserve">PAGE   \* MERGEFORMAT</w:instrText>
        </w:r>
        <w:r>
          <w:fldChar w:fldCharType="separate"/>
        </w:r>
        <w:r>
          <w:rPr>
            <w:lang w:val="zh-CN"/>
          </w:rPr>
          <w:t>25</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71300"/>
    <w:multiLevelType w:val="multilevel"/>
    <w:tmpl w:val="00671300"/>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DB7DFA"/>
    <w:multiLevelType w:val="multilevel"/>
    <w:tmpl w:val="00DB7DFA"/>
    <w:lvl w:ilvl="0" w:tentative="0">
      <w:start w:val="1"/>
      <w:numFmt w:val="decimal"/>
      <w:lvlText w:val="(%1)"/>
      <w:lvlJc w:val="left"/>
      <w:pPr>
        <w:ind w:left="425" w:hanging="4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D52D4F"/>
    <w:multiLevelType w:val="multilevel"/>
    <w:tmpl w:val="0AD52D4F"/>
    <w:lvl w:ilvl="0" w:tentative="0">
      <w:start w:val="1"/>
      <w:numFmt w:val="decimal"/>
      <w:lvlText w:val="(%1)"/>
      <w:lvlJc w:val="left"/>
      <w:pPr>
        <w:ind w:left="425" w:hanging="4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36982E"/>
    <w:multiLevelType w:val="singleLevel"/>
    <w:tmpl w:val="2236982E"/>
    <w:lvl w:ilvl="0" w:tentative="0">
      <w:start w:val="1"/>
      <w:numFmt w:val="decimal"/>
      <w:lvlText w:val="(%1)"/>
      <w:lvlJc w:val="left"/>
      <w:pPr>
        <w:ind w:left="425" w:hanging="425"/>
      </w:pPr>
      <w:rPr>
        <w:rFonts w:hint="default"/>
      </w:rPr>
    </w:lvl>
  </w:abstractNum>
  <w:abstractNum w:abstractNumId="4">
    <w:nsid w:val="2BBC737D"/>
    <w:multiLevelType w:val="multilevel"/>
    <w:tmpl w:val="2BBC737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0865187"/>
    <w:multiLevelType w:val="multilevel"/>
    <w:tmpl w:val="3086518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34624A9"/>
    <w:multiLevelType w:val="singleLevel"/>
    <w:tmpl w:val="434624A9"/>
    <w:lvl w:ilvl="0" w:tentative="0">
      <w:start w:val="1"/>
      <w:numFmt w:val="chineseCounting"/>
      <w:suff w:val="nothing"/>
      <w:lvlText w:val="%1、"/>
      <w:lvlJc w:val="left"/>
      <w:pPr>
        <w:ind w:hanging="170"/>
      </w:pPr>
      <w:rPr>
        <w:rFonts w:hint="eastAsia"/>
      </w:rPr>
    </w:lvl>
  </w:abstractNum>
  <w:abstractNum w:abstractNumId="7">
    <w:nsid w:val="52B4CC6B"/>
    <w:multiLevelType w:val="singleLevel"/>
    <w:tmpl w:val="52B4CC6B"/>
    <w:lvl w:ilvl="0" w:tentative="0">
      <w:start w:val="1"/>
      <w:numFmt w:val="decimal"/>
      <w:lvlText w:val="(%1)"/>
      <w:lvlJc w:val="left"/>
      <w:pPr>
        <w:ind w:left="420" w:hanging="420"/>
      </w:pPr>
      <w:rPr>
        <w:rFonts w:hint="default"/>
      </w:rPr>
    </w:lvl>
  </w:abstractNum>
  <w:abstractNum w:abstractNumId="8">
    <w:nsid w:val="5A3734B3"/>
    <w:multiLevelType w:val="multilevel"/>
    <w:tmpl w:val="5A3734B3"/>
    <w:lvl w:ilvl="0" w:tentative="0">
      <w:start w:val="1"/>
      <w:numFmt w:val="decimal"/>
      <w:lvlText w:val="(%1)"/>
      <w:lvlJc w:val="left"/>
      <w:pPr>
        <w:ind w:left="425" w:hanging="4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41F15CB"/>
    <w:multiLevelType w:val="multilevel"/>
    <w:tmpl w:val="741F15CB"/>
    <w:lvl w:ilvl="0" w:tentative="0">
      <w:start w:val="1"/>
      <w:numFmt w:val="decimal"/>
      <w:lvlText w:val="(%1)"/>
      <w:lvlJc w:val="left"/>
      <w:pPr>
        <w:ind w:left="1020" w:hanging="42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6"/>
  </w:num>
  <w:num w:numId="2">
    <w:abstractNumId w:val="5"/>
  </w:num>
  <w:num w:numId="3">
    <w:abstractNumId w:val="9"/>
  </w:num>
  <w:num w:numId="4">
    <w:abstractNumId w:val="7"/>
  </w:num>
  <w:num w:numId="5">
    <w:abstractNumId w:val="2"/>
  </w:num>
  <w:num w:numId="6">
    <w:abstractNumId w:val="8"/>
  </w:num>
  <w:num w:numId="7">
    <w:abstractNumId w:val="0"/>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C07904"/>
    <w:rsid w:val="0000129E"/>
    <w:rsid w:val="00025755"/>
    <w:rsid w:val="00026C91"/>
    <w:rsid w:val="00037F1F"/>
    <w:rsid w:val="000424C7"/>
    <w:rsid w:val="00081EF2"/>
    <w:rsid w:val="000B351B"/>
    <w:rsid w:val="000B6E79"/>
    <w:rsid w:val="000C636D"/>
    <w:rsid w:val="000D633E"/>
    <w:rsid w:val="000E6730"/>
    <w:rsid w:val="000F00EB"/>
    <w:rsid w:val="00110845"/>
    <w:rsid w:val="00117458"/>
    <w:rsid w:val="001212F7"/>
    <w:rsid w:val="00122CB0"/>
    <w:rsid w:val="00124F0C"/>
    <w:rsid w:val="00127912"/>
    <w:rsid w:val="00134D01"/>
    <w:rsid w:val="00182482"/>
    <w:rsid w:val="00187B8F"/>
    <w:rsid w:val="00191A1F"/>
    <w:rsid w:val="001B0AC3"/>
    <w:rsid w:val="001B29F4"/>
    <w:rsid w:val="001B4DE8"/>
    <w:rsid w:val="001D3F05"/>
    <w:rsid w:val="001E72D7"/>
    <w:rsid w:val="00206D17"/>
    <w:rsid w:val="00207F2E"/>
    <w:rsid w:val="002107AB"/>
    <w:rsid w:val="00221E25"/>
    <w:rsid w:val="00222721"/>
    <w:rsid w:val="00223456"/>
    <w:rsid w:val="00234447"/>
    <w:rsid w:val="0023598D"/>
    <w:rsid w:val="00243D9C"/>
    <w:rsid w:val="0026073C"/>
    <w:rsid w:val="00266957"/>
    <w:rsid w:val="0027637B"/>
    <w:rsid w:val="002776B6"/>
    <w:rsid w:val="00282E81"/>
    <w:rsid w:val="00283A86"/>
    <w:rsid w:val="002943E7"/>
    <w:rsid w:val="002B588A"/>
    <w:rsid w:val="002C13A4"/>
    <w:rsid w:val="002D03B6"/>
    <w:rsid w:val="002E1B0C"/>
    <w:rsid w:val="0031010E"/>
    <w:rsid w:val="0031020C"/>
    <w:rsid w:val="0032110F"/>
    <w:rsid w:val="00326D98"/>
    <w:rsid w:val="00345C0F"/>
    <w:rsid w:val="00361C9B"/>
    <w:rsid w:val="0039194A"/>
    <w:rsid w:val="003A2DBD"/>
    <w:rsid w:val="003C4EA8"/>
    <w:rsid w:val="003D1542"/>
    <w:rsid w:val="003D23EA"/>
    <w:rsid w:val="003D4F2F"/>
    <w:rsid w:val="003D5626"/>
    <w:rsid w:val="003D6F3E"/>
    <w:rsid w:val="003F7BF2"/>
    <w:rsid w:val="00404E9C"/>
    <w:rsid w:val="004414B0"/>
    <w:rsid w:val="00456D13"/>
    <w:rsid w:val="00462F9A"/>
    <w:rsid w:val="0046736E"/>
    <w:rsid w:val="00475BCB"/>
    <w:rsid w:val="004A61A0"/>
    <w:rsid w:val="004C4A16"/>
    <w:rsid w:val="004D1634"/>
    <w:rsid w:val="004D405A"/>
    <w:rsid w:val="004D50C9"/>
    <w:rsid w:val="004D5F17"/>
    <w:rsid w:val="004D670F"/>
    <w:rsid w:val="004E060E"/>
    <w:rsid w:val="004E259E"/>
    <w:rsid w:val="00533FBE"/>
    <w:rsid w:val="005406B0"/>
    <w:rsid w:val="005443FD"/>
    <w:rsid w:val="005552A7"/>
    <w:rsid w:val="00556CC5"/>
    <w:rsid w:val="0056411E"/>
    <w:rsid w:val="0058066F"/>
    <w:rsid w:val="00587F46"/>
    <w:rsid w:val="00597947"/>
    <w:rsid w:val="005A3BD2"/>
    <w:rsid w:val="005B4431"/>
    <w:rsid w:val="005B605A"/>
    <w:rsid w:val="005D1EB1"/>
    <w:rsid w:val="005D2B3C"/>
    <w:rsid w:val="005F06E9"/>
    <w:rsid w:val="005F2DAF"/>
    <w:rsid w:val="00617884"/>
    <w:rsid w:val="00637FA0"/>
    <w:rsid w:val="00643B78"/>
    <w:rsid w:val="00667D52"/>
    <w:rsid w:val="0068030A"/>
    <w:rsid w:val="0069481C"/>
    <w:rsid w:val="006956EC"/>
    <w:rsid w:val="006B3CEE"/>
    <w:rsid w:val="006B3DF7"/>
    <w:rsid w:val="006E14E4"/>
    <w:rsid w:val="006E3046"/>
    <w:rsid w:val="006E7449"/>
    <w:rsid w:val="007168EF"/>
    <w:rsid w:val="0073173E"/>
    <w:rsid w:val="00732882"/>
    <w:rsid w:val="00735667"/>
    <w:rsid w:val="007718C2"/>
    <w:rsid w:val="0077464E"/>
    <w:rsid w:val="00790D1B"/>
    <w:rsid w:val="00791136"/>
    <w:rsid w:val="007A2824"/>
    <w:rsid w:val="007A52D9"/>
    <w:rsid w:val="007B3928"/>
    <w:rsid w:val="007B59E2"/>
    <w:rsid w:val="007B5D99"/>
    <w:rsid w:val="007F2C84"/>
    <w:rsid w:val="00822198"/>
    <w:rsid w:val="00841008"/>
    <w:rsid w:val="00844CFC"/>
    <w:rsid w:val="00854CD2"/>
    <w:rsid w:val="008A0B23"/>
    <w:rsid w:val="008B6E17"/>
    <w:rsid w:val="008D78E3"/>
    <w:rsid w:val="00913AE9"/>
    <w:rsid w:val="00966710"/>
    <w:rsid w:val="00997348"/>
    <w:rsid w:val="009C0360"/>
    <w:rsid w:val="009E5092"/>
    <w:rsid w:val="00A024B0"/>
    <w:rsid w:val="00A15744"/>
    <w:rsid w:val="00A246A3"/>
    <w:rsid w:val="00A37122"/>
    <w:rsid w:val="00A41874"/>
    <w:rsid w:val="00A42054"/>
    <w:rsid w:val="00A66F33"/>
    <w:rsid w:val="00A67028"/>
    <w:rsid w:val="00A74695"/>
    <w:rsid w:val="00A763E9"/>
    <w:rsid w:val="00A81DE0"/>
    <w:rsid w:val="00AB1CEC"/>
    <w:rsid w:val="00AB2237"/>
    <w:rsid w:val="00AB48E7"/>
    <w:rsid w:val="00AD31E9"/>
    <w:rsid w:val="00AE18AC"/>
    <w:rsid w:val="00AE7B69"/>
    <w:rsid w:val="00AF22DB"/>
    <w:rsid w:val="00AF7E09"/>
    <w:rsid w:val="00B12031"/>
    <w:rsid w:val="00B239E1"/>
    <w:rsid w:val="00B66766"/>
    <w:rsid w:val="00B76190"/>
    <w:rsid w:val="00B869A9"/>
    <w:rsid w:val="00B95D99"/>
    <w:rsid w:val="00BA634F"/>
    <w:rsid w:val="00BB0B03"/>
    <w:rsid w:val="00BB54A9"/>
    <w:rsid w:val="00BC04B2"/>
    <w:rsid w:val="00BC3ADB"/>
    <w:rsid w:val="00BD7EBE"/>
    <w:rsid w:val="00BE5DF4"/>
    <w:rsid w:val="00BF27AD"/>
    <w:rsid w:val="00BF29B4"/>
    <w:rsid w:val="00C13728"/>
    <w:rsid w:val="00C205B4"/>
    <w:rsid w:val="00C24ED3"/>
    <w:rsid w:val="00C26E22"/>
    <w:rsid w:val="00C2795A"/>
    <w:rsid w:val="00C32185"/>
    <w:rsid w:val="00C34FAE"/>
    <w:rsid w:val="00CA0806"/>
    <w:rsid w:val="00CB6EFA"/>
    <w:rsid w:val="00CB6F2F"/>
    <w:rsid w:val="00CD5217"/>
    <w:rsid w:val="00CE1042"/>
    <w:rsid w:val="00CE32B6"/>
    <w:rsid w:val="00D012E6"/>
    <w:rsid w:val="00D23EAD"/>
    <w:rsid w:val="00D344CE"/>
    <w:rsid w:val="00D45BDF"/>
    <w:rsid w:val="00D462CC"/>
    <w:rsid w:val="00D60E76"/>
    <w:rsid w:val="00D66222"/>
    <w:rsid w:val="00D66BCF"/>
    <w:rsid w:val="00D85906"/>
    <w:rsid w:val="00D93312"/>
    <w:rsid w:val="00D96C88"/>
    <w:rsid w:val="00DA644B"/>
    <w:rsid w:val="00DB5C2A"/>
    <w:rsid w:val="00E40B24"/>
    <w:rsid w:val="00E4545F"/>
    <w:rsid w:val="00E678BA"/>
    <w:rsid w:val="00E946A3"/>
    <w:rsid w:val="00EA12A0"/>
    <w:rsid w:val="00EB091E"/>
    <w:rsid w:val="00EB0EF7"/>
    <w:rsid w:val="00EB33E6"/>
    <w:rsid w:val="00ED2A9E"/>
    <w:rsid w:val="00EE4C33"/>
    <w:rsid w:val="00EE66C0"/>
    <w:rsid w:val="00EF03E4"/>
    <w:rsid w:val="00F23600"/>
    <w:rsid w:val="00F25F9E"/>
    <w:rsid w:val="00F27659"/>
    <w:rsid w:val="00F462A7"/>
    <w:rsid w:val="00F50BAB"/>
    <w:rsid w:val="00F54A71"/>
    <w:rsid w:val="00F57C54"/>
    <w:rsid w:val="00F60A70"/>
    <w:rsid w:val="00F72C95"/>
    <w:rsid w:val="00F809AB"/>
    <w:rsid w:val="00F83472"/>
    <w:rsid w:val="00F857F4"/>
    <w:rsid w:val="00FC25E1"/>
    <w:rsid w:val="00FC6ED2"/>
    <w:rsid w:val="00FF20FE"/>
    <w:rsid w:val="02451020"/>
    <w:rsid w:val="0E9F4D22"/>
    <w:rsid w:val="11957305"/>
    <w:rsid w:val="12D70AE7"/>
    <w:rsid w:val="14A21534"/>
    <w:rsid w:val="158E720B"/>
    <w:rsid w:val="1EC62230"/>
    <w:rsid w:val="252C33F2"/>
    <w:rsid w:val="29237A70"/>
    <w:rsid w:val="2FBE3BF1"/>
    <w:rsid w:val="310A7150"/>
    <w:rsid w:val="42AA4BCF"/>
    <w:rsid w:val="45A66C91"/>
    <w:rsid w:val="52291E5C"/>
    <w:rsid w:val="523B555B"/>
    <w:rsid w:val="52CB6812"/>
    <w:rsid w:val="57C07904"/>
    <w:rsid w:val="5B9A561B"/>
    <w:rsid w:val="5D4935B2"/>
    <w:rsid w:val="67582F6E"/>
    <w:rsid w:val="6A0128E9"/>
    <w:rsid w:val="712A433C"/>
    <w:rsid w:val="7DCF7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right="424"/>
      <w:jc w:val="center"/>
      <w:outlineLvl w:val="0"/>
    </w:pPr>
    <w:rPr>
      <w:rFonts w:ascii="方正小标宋简体" w:hAnsi="方正小标宋简体" w:eastAsia="方正小标宋简体" w:cs="方正小标宋简体"/>
      <w:sz w:val="44"/>
      <w:szCs w:val="44"/>
      <w:lang w:val="zh-CN" w:bidi="zh-CN"/>
    </w:rPr>
  </w:style>
  <w:style w:type="paragraph" w:styleId="3">
    <w:name w:val="heading 2"/>
    <w:basedOn w:val="1"/>
    <w:next w:val="1"/>
    <w:link w:val="23"/>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2" w:lineRule="auto"/>
      <w:outlineLvl w:val="3"/>
    </w:pPr>
    <w:rPr>
      <w:rFonts w:ascii="Arial" w:hAnsi="Arial" w:eastAsia="黑体"/>
      <w:b/>
      <w:sz w:val="28"/>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26"/>
    <w:qFormat/>
    <w:uiPriority w:val="0"/>
    <w:pPr>
      <w:jc w:val="left"/>
    </w:pPr>
  </w:style>
  <w:style w:type="paragraph" w:styleId="7">
    <w:name w:val="Body Text"/>
    <w:basedOn w:val="1"/>
    <w:link w:val="25"/>
    <w:qFormat/>
    <w:uiPriority w:val="1"/>
    <w:rPr>
      <w:rFonts w:ascii="仿宋_GB2312" w:hAnsi="仿宋_GB2312" w:eastAsia="仿宋_GB2312" w:cs="仿宋_GB2312"/>
      <w:sz w:val="32"/>
      <w:szCs w:val="32"/>
      <w:lang w:val="zh-CN" w:bidi="zh-CN"/>
    </w:rPr>
  </w:style>
  <w:style w:type="paragraph" w:styleId="8">
    <w:name w:val="Balloon Text"/>
    <w:basedOn w:val="1"/>
    <w:link w:val="28"/>
    <w:qFormat/>
    <w:uiPriority w:val="0"/>
    <w:rPr>
      <w:sz w:val="18"/>
      <w:szCs w:val="18"/>
    </w:rPr>
  </w:style>
  <w:style w:type="paragraph" w:styleId="9">
    <w:name w:val="footer"/>
    <w:basedOn w:val="1"/>
    <w:link w:val="22"/>
    <w:qFormat/>
    <w:uiPriority w:val="99"/>
    <w:pPr>
      <w:tabs>
        <w:tab w:val="center" w:pos="4153"/>
        <w:tab w:val="right" w:pos="8306"/>
      </w:tabs>
      <w:snapToGrid w:val="0"/>
      <w:jc w:val="left"/>
    </w:pPr>
    <w:rPr>
      <w:sz w:val="18"/>
      <w:szCs w:val="18"/>
    </w:rPr>
  </w:style>
  <w:style w:type="paragraph" w:styleId="10">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iPriority w:val="39"/>
  </w:style>
  <w:style w:type="paragraph" w:styleId="12">
    <w:name w:val="toc 2"/>
    <w:basedOn w:val="1"/>
    <w:next w:val="1"/>
    <w:uiPriority w:val="39"/>
    <w:pPr>
      <w:ind w:left="420" w:leftChars="200"/>
    </w:pPr>
  </w:style>
  <w:style w:type="paragraph" w:styleId="13">
    <w:name w:val="annotation subject"/>
    <w:basedOn w:val="6"/>
    <w:next w:val="6"/>
    <w:link w:val="27"/>
    <w:qFormat/>
    <w:uiPriority w:val="0"/>
    <w:rPr>
      <w:b/>
      <w:bCs/>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uiPriority w:val="99"/>
    <w:rPr>
      <w:color w:val="0563C1" w:themeColor="hyperlink"/>
      <w:u w:val="single"/>
      <w14:textFill>
        <w14:solidFill>
          <w14:schemeClr w14:val="hlink"/>
        </w14:solidFill>
      </w14:textFill>
    </w:rPr>
  </w:style>
  <w:style w:type="character" w:styleId="18">
    <w:name w:val="annotation reference"/>
    <w:basedOn w:val="16"/>
    <w:qFormat/>
    <w:uiPriority w:val="0"/>
    <w:rPr>
      <w:sz w:val="21"/>
      <w:szCs w:val="21"/>
    </w:rPr>
  </w:style>
  <w:style w:type="paragraph" w:customStyle="1" w:styleId="19">
    <w:name w:val="Table Paragraph"/>
    <w:basedOn w:val="1"/>
    <w:qFormat/>
    <w:uiPriority w:val="1"/>
    <w:rPr>
      <w:rFonts w:ascii="宋体" w:hAnsi="宋体" w:eastAsia="宋体" w:cs="宋体"/>
    </w:rPr>
  </w:style>
  <w:style w:type="paragraph" w:styleId="20">
    <w:name w:val="List Paragraph"/>
    <w:basedOn w:val="1"/>
    <w:link w:val="30"/>
    <w:qFormat/>
    <w:uiPriority w:val="34"/>
    <w:pPr>
      <w:spacing w:before="82"/>
      <w:ind w:left="482" w:firstLine="640"/>
    </w:pPr>
  </w:style>
  <w:style w:type="character" w:customStyle="1" w:styleId="21">
    <w:name w:val="页眉 Char"/>
    <w:basedOn w:val="16"/>
    <w:link w:val="10"/>
    <w:qFormat/>
    <w:uiPriority w:val="0"/>
    <w:rPr>
      <w:rFonts w:asciiTheme="minorHAnsi" w:hAnsiTheme="minorHAnsi" w:eastAsiaTheme="minorEastAsia" w:cstheme="minorBidi"/>
      <w:kern w:val="2"/>
      <w:sz w:val="18"/>
      <w:szCs w:val="18"/>
    </w:rPr>
  </w:style>
  <w:style w:type="character" w:customStyle="1" w:styleId="22">
    <w:name w:val="页脚 Char"/>
    <w:basedOn w:val="16"/>
    <w:link w:val="9"/>
    <w:qFormat/>
    <w:uiPriority w:val="99"/>
    <w:rPr>
      <w:rFonts w:asciiTheme="minorHAnsi" w:hAnsiTheme="minorHAnsi" w:eastAsiaTheme="minorEastAsia" w:cstheme="minorBidi"/>
      <w:kern w:val="2"/>
      <w:sz w:val="18"/>
      <w:szCs w:val="18"/>
    </w:rPr>
  </w:style>
  <w:style w:type="character" w:customStyle="1" w:styleId="23">
    <w:name w:val="标题 2 Char"/>
    <w:basedOn w:val="16"/>
    <w:link w:val="3"/>
    <w:semiHidden/>
    <w:qFormat/>
    <w:uiPriority w:val="0"/>
    <w:rPr>
      <w:rFonts w:asciiTheme="majorHAnsi" w:hAnsiTheme="majorHAnsi" w:eastAsiaTheme="majorEastAsia" w:cstheme="majorBidi"/>
      <w:b/>
      <w:bCs/>
      <w:kern w:val="2"/>
      <w:sz w:val="32"/>
      <w:szCs w:val="32"/>
    </w:rPr>
  </w:style>
  <w:style w:type="character" w:customStyle="1" w:styleId="24">
    <w:name w:val="标题 3 Char"/>
    <w:basedOn w:val="16"/>
    <w:link w:val="4"/>
    <w:semiHidden/>
    <w:qFormat/>
    <w:uiPriority w:val="0"/>
    <w:rPr>
      <w:rFonts w:asciiTheme="minorHAnsi" w:hAnsiTheme="minorHAnsi" w:eastAsiaTheme="minorEastAsia" w:cstheme="minorBidi"/>
      <w:b/>
      <w:bCs/>
      <w:kern w:val="2"/>
      <w:sz w:val="32"/>
      <w:szCs w:val="32"/>
    </w:rPr>
  </w:style>
  <w:style w:type="character" w:customStyle="1" w:styleId="25">
    <w:name w:val="正文文本 Char"/>
    <w:basedOn w:val="16"/>
    <w:link w:val="7"/>
    <w:qFormat/>
    <w:uiPriority w:val="1"/>
    <w:rPr>
      <w:rFonts w:ascii="仿宋_GB2312" w:hAnsi="仿宋_GB2312" w:eastAsia="仿宋_GB2312" w:cs="仿宋_GB2312"/>
      <w:kern w:val="2"/>
      <w:sz w:val="32"/>
      <w:szCs w:val="32"/>
      <w:lang w:val="zh-CN" w:bidi="zh-CN"/>
    </w:rPr>
  </w:style>
  <w:style w:type="character" w:customStyle="1" w:styleId="26">
    <w:name w:val="批注文字 Char"/>
    <w:basedOn w:val="16"/>
    <w:link w:val="6"/>
    <w:uiPriority w:val="0"/>
    <w:rPr>
      <w:rFonts w:asciiTheme="minorHAnsi" w:hAnsiTheme="minorHAnsi" w:eastAsiaTheme="minorEastAsia" w:cstheme="minorBidi"/>
      <w:kern w:val="2"/>
      <w:sz w:val="21"/>
      <w:szCs w:val="24"/>
    </w:rPr>
  </w:style>
  <w:style w:type="character" w:customStyle="1" w:styleId="27">
    <w:name w:val="批注主题 Char"/>
    <w:basedOn w:val="26"/>
    <w:link w:val="13"/>
    <w:uiPriority w:val="0"/>
    <w:rPr>
      <w:rFonts w:asciiTheme="minorHAnsi" w:hAnsiTheme="minorHAnsi" w:eastAsiaTheme="minorEastAsia" w:cstheme="minorBidi"/>
      <w:b/>
      <w:bCs/>
      <w:kern w:val="2"/>
      <w:sz w:val="21"/>
      <w:szCs w:val="24"/>
    </w:rPr>
  </w:style>
  <w:style w:type="character" w:customStyle="1" w:styleId="28">
    <w:name w:val="批注框文本 Char"/>
    <w:basedOn w:val="16"/>
    <w:link w:val="8"/>
    <w:qFormat/>
    <w:uiPriority w:val="0"/>
    <w:rPr>
      <w:rFonts w:asciiTheme="minorHAnsi" w:hAnsiTheme="minorHAnsi" w:eastAsiaTheme="minorEastAsia" w:cstheme="minorBidi"/>
      <w:kern w:val="2"/>
      <w:sz w:val="18"/>
      <w:szCs w:val="18"/>
    </w:rPr>
  </w:style>
  <w:style w:type="paragraph" w:customStyle="1" w:styleId="29">
    <w:name w:val="TOC 标题1"/>
    <w:basedOn w:val="2"/>
    <w:next w:val="1"/>
    <w:unhideWhenUsed/>
    <w:qFormat/>
    <w:uiPriority w:val="39"/>
    <w:pPr>
      <w:keepNext/>
      <w:keepLines/>
      <w:widowControl/>
      <w:spacing w:before="240" w:line="259" w:lineRule="auto"/>
      <w:ind w:right="0"/>
      <w:jc w:val="left"/>
      <w:outlineLvl w:val="9"/>
    </w:pPr>
    <w:rPr>
      <w:rFonts w:asciiTheme="majorHAnsi" w:hAnsiTheme="majorHAnsi" w:eastAsiaTheme="majorEastAsia" w:cstheme="majorBidi"/>
      <w:color w:val="2E75B6" w:themeColor="accent1" w:themeShade="BF"/>
      <w:kern w:val="0"/>
      <w:sz w:val="32"/>
      <w:szCs w:val="32"/>
      <w:lang w:val="en-US" w:bidi="ar-SA"/>
    </w:rPr>
  </w:style>
  <w:style w:type="character" w:customStyle="1" w:styleId="30">
    <w:name w:val="列出段落 Char"/>
    <w:link w:val="20"/>
    <w:qFormat/>
    <w:uiPriority w:val="34"/>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7BCC9B-F9FB-4734-A1E3-97187C6A4EBC}">
  <ds:schemaRefs/>
</ds:datastoreItem>
</file>

<file path=docProps/app.xml><?xml version="1.0" encoding="utf-8"?>
<Properties xmlns="http://schemas.openxmlformats.org/officeDocument/2006/extended-properties" xmlns:vt="http://schemas.openxmlformats.org/officeDocument/2006/docPropsVTypes">
  <Template>Normal.dotm</Template>
  <Pages>1</Pages>
  <Words>2013</Words>
  <Characters>11475</Characters>
  <Lines>95</Lines>
  <Paragraphs>26</Paragraphs>
  <TotalTime>43</TotalTime>
  <ScaleCrop>false</ScaleCrop>
  <LinksUpToDate>false</LinksUpToDate>
  <CharactersWithSpaces>13462</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2021-10-12T07:10:00Z</dcterms:created>
  <dc:creator>茶花</dc:creator>
  <cp:lastModifiedBy>Administrator</cp:lastModifiedBy>
  <cp:lastPrinted>2021-10-27T12:17:00Z</cp:lastPrinted>
  <dcterms:modified xsi:type="dcterms:W3CDTF">2023-04-20T03:15:05Z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157A8F61AACE471F8A50E52A1C8731AE</vt:lpwstr>
  </property>
</Properties>
</file>