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姜政〔202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宁波市鄞州区姜山镇人民政府关于印发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姜山镇殡葬整治行动方案》的通知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各行政村（场、社、居）、镇机关各办（中心）、基层站所：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为进一步规范和加强殡葬管理，有效解决殡葬领域突出问题，深化殡葬领域改革，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着力维护人民群众切身利益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推进现代殡葬事业高质量发展，根据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《鄞州区殡葬整治行动方案》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殡改办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），决定于2022年8月至12月，在镇域范围内集中开展殡葬整治行动。具体方案如下：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</w:rPr>
        <w:t>一、指导思想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以习近平新时代中国特色社会主义思想为指导，围绕推进共同富裕和民政事业高质量发展要求，贯彻落实有关殡葬改革工作决策部署，采取切实有效措施，加强殡葬规划建设管理工作，强化源头治理，切实解决殡葬规划布局不完善、部分殡葬用地</w:t>
      </w:r>
      <w:r>
        <w:rPr>
          <w:rFonts w:hint="eastAsia" w:ascii="仿宋_GB2312" w:hAnsi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手续不齐全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、公墓日常监管不到位、公墓信息化水平偏低等突出问题，</w:t>
      </w:r>
      <w:bookmarkStart w:id="0" w:name="_Hlk518307280"/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推动建立殡葬管理长效机制，促进殡葬行业健康发展。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</w:rPr>
        <w:t>二、基本原则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  <w:t>（一）属地管理，压实责任。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在镇党委、镇政府领导下，进一步建立健全领导协调机制，强化属地管理责任，明确细化相关村社和部门职责分工，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强化目标考核，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形成工作合力，确保整治行动效果。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  <w:t>（二）依法依规，积极稳妥。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以问题为导向，做到分类施策，统筹兼顾，既要确保整治行动推进有序，精准打击，又要做好风险评估，保障人民群众合法权益，维护社会稳定。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  <w:t>（三）疏堵结合，标本兼治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完善殡葬事业专项规划，推进落实镇级公益性生态公墓规划申报，提升公墓管理信息化水平。对殡葬领域违法违规行为加强日常监管和联合执法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打击，同时以整治行动为契机，建立健全殡葬服务体系，形成长效管理机制。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  <w:t>规范公益性墓园。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在近年以来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殡葬专项整治成果的基础上，开展“回头看”工作，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进一步自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查整改，严禁发包承包行为。切实推进镇域五处墓园封闭管理项目，力争年底前完成物理化封闭和全时信息化监控。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  <w:t>加强公墓属地日常监管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。属地村要加强日常巡查、航拍监控，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严厉打击各类违法占用土（林）地、破坏生态环境，超边界建坟、超标准建设、违规建坟修坟、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散埋乱葬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等行为，各村社要配合镇相关部门做好联合打击整治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。要进一步提升所属公墓的绿化覆盖率，特别是要确保“两路两侧”公墓的绿化覆盖率和树木存活率。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kern w:val="2"/>
          <w:sz w:val="32"/>
          <w:szCs w:val="32"/>
          <w:lang w:val="en-US" w:eastAsia="zh-CN" w:bidi="ar-SA"/>
        </w:rPr>
        <w:t>（三）完善“十四五”殡葬事业专项规划。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以第四轮国土空间规划调整为契机，根据镇殡葬用地需求上报殡葬用地需求。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  <w:t>加快推进数智墓园建设。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积极推进以“数字姜山”墓园板块规划管理，加快所辖墓园基础数据采集工作，按要求提供数智墓园系统所需基础信息。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</w:rPr>
        <w:t>实施步骤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  <w:t>（一）明确分工，动员部署（8月上旬）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制定姜山镇殡葬整治行动方案，明确整治任务相关要求和完成期限。相关部门根据行动方案和职责分工，细化分解整治工作任务，成立整治行动专项工作群，按照职责分工每周五及时上报整治进展情况。同时由镇政府与相关村签订殡葬整治责任书，组织开展动员部署工作，全面启动整治行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  <w:t>（二）全面自查，扎实整改（8月-11月）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相关镇和部门要根据制定的具体整治行动方案，全面深入开展自查，按照每周分解任务和完成期限，逐条逐项抓好整改落实。镇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资配中心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牵头定期将整改情况汇总后向区民政局上报任务进展情况，10月底上报阶段性工作总结。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  <w:t>（三）总结报告，完善制度（12月）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相关部门、村要对整治行动情况进行全面总结，查漏补缺，着力完善制度措施，积极探索创新殡葬管理模式，提出可行性意见建议，建立健全长效机制。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五、保障措施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  <w:t>（一）加强组织领导。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建立由镇长挂帅的整治行动领导小组，负责统筹领导本次整治行动，下设整治行动办公室，由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人武部长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担任办公室主任，办公室由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资规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、综合执法、农办、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资配中心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等部门人员组成。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  <w:t>（二）明确职责分工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。按照各自工作职责，积极主动作为，根据整治行动方案，按完成期限贯彻落实各项整治任务，确保整治工作取得实效。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  <w:t>（三）注重综合施策。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突出重点，标本兼治，持续抓好整改深化工作，加强属地管理，落实监管责任，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推动建立常态化监管机制。对干扰阻挠整治工作的单位和个人要依法从严处理，对殡葬领域中涉黑涉恶势力严厉打击，对在整治中领导不力、失职渎职、徇私舞弊的领导干部和工作人员要按照党纪政纪严肃处理，构成犯罪的依法追究刑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  <w:t>（四）加强宣传引导。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加强殡葬工作政策解读及舆论引导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，加强舆情监测，统一对外宣传口径，及时回应社会关切和群众诉求，为整治工作营造良好舆论环境。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附件：姜山镇殡葬整治行动任务清单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宁波市鄞州区姜山镇人民政府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304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                             2022年8月8日</w:t>
      </w:r>
    </w:p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姜山镇殡葬整治行动任务清单</w:t>
      </w:r>
    </w:p>
    <w:tbl>
      <w:tblPr>
        <w:tblStyle w:val="9"/>
        <w:tblW w:w="14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39"/>
        <w:gridCol w:w="5113"/>
        <w:gridCol w:w="1450"/>
        <w:gridCol w:w="3437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整治行动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重点任务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34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推进时限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开展殡葬整治行动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镇政府与相关村签订殡葬整治责任书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资配中心</w:t>
            </w:r>
          </w:p>
        </w:tc>
        <w:tc>
          <w:tcPr>
            <w:tcW w:w="3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山西村、五龙桥村、上游村、董家跳村、胡家坟村、同三村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制定具体整治行动方案并分解任务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资配中心</w:t>
            </w:r>
          </w:p>
        </w:tc>
        <w:tc>
          <w:tcPr>
            <w:tcW w:w="3437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资规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、综合执法、农办、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资配中心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13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每周报整治任务推进情况，10月底报阶段性工作总结，12月底报整治行动完成总结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资配中心</w:t>
            </w:r>
          </w:p>
        </w:tc>
        <w:tc>
          <w:tcPr>
            <w:tcW w:w="3437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资规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、综合执法、农办、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资配中心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完善“十四五”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殡葬事业专项规划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上报殡葬用地需求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资配中心</w:t>
            </w:r>
          </w:p>
        </w:tc>
        <w:tc>
          <w:tcPr>
            <w:tcW w:w="3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规范公益性墓园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自查镇级公益性生态墓园是否存在发包承包行为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资配中心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山西村、五龙桥村、上游村、董家跳村、胡家坟村、同三村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村级墓地封闭管理</w:t>
            </w: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2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加强公墓属地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日常监管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加强日常巡查，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积极组织并严厉打击散埋乱葬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行为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资配中心</w:t>
            </w:r>
          </w:p>
        </w:tc>
        <w:tc>
          <w:tcPr>
            <w:tcW w:w="3437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山西村、五龙桥村、上游村、董家跳村、胡家坟村、同三村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提升公墓绿化覆盖率，特别提升是“两路两侧”公墓绿化覆盖率</w:t>
            </w: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加强殡葬联合执法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加大联合执法力度，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严厉打击各类违法占用土（林）地、破坏生态环境、超标准建设、建“活人墓”等行为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资配中心</w:t>
            </w:r>
          </w:p>
        </w:tc>
        <w:tc>
          <w:tcPr>
            <w:tcW w:w="3437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综合执法、农办、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资配中心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推进数智墓园建设</w:t>
            </w:r>
          </w:p>
        </w:tc>
        <w:tc>
          <w:tcPr>
            <w:tcW w:w="511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姜山公益性墓园基础数据采集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资配中心</w:t>
            </w:r>
          </w:p>
        </w:tc>
        <w:tc>
          <w:tcPr>
            <w:tcW w:w="3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8月底</w:t>
            </w:r>
          </w:p>
        </w:tc>
      </w:tr>
    </w:tbl>
    <w:p>
      <w:pPr>
        <w:pStyle w:val="2"/>
        <w:jc w:val="center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1304" w:gutter="0"/>
          <w:pgNumType w:fmt="decimal"/>
          <w:cols w:space="720" w:num="1"/>
          <w:docGrid w:type="lines" w:linePitch="312" w:charSpace="0"/>
        </w:sect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/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pBdr>
          <w:top w:val="single" w:color="auto" w:sz="6" w:space="0"/>
          <w:bottom w:val="single" w:color="auto" w:sz="6" w:space="4"/>
        </w:pBdr>
        <w:tabs>
          <w:tab w:val="right" w:pos="8504"/>
        </w:tabs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 w:cs="仿宋_GB2312"/>
          <w:sz w:val="28"/>
          <w:szCs w:val="28"/>
        </w:rPr>
        <w:t xml:space="preserve"> 宁波市鄞州区姜山镇党政办公室</w:t>
      </w:r>
      <w:r>
        <w:rPr>
          <w:rFonts w:eastAsia="仿宋_GB2312"/>
          <w:sz w:val="28"/>
          <w:szCs w:val="28"/>
        </w:rPr>
        <w:t xml:space="preserve">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 w:cs="仿宋_GB2312"/>
          <w:sz w:val="28"/>
          <w:szCs w:val="28"/>
        </w:rPr>
        <w:t>日印发</w:t>
      </w:r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spacing w:val="-4"/>
        <w:kern w:val="2"/>
        <w:sz w:val="28"/>
        <w:szCs w:val="18"/>
        <w:lang w:val="en-US" w:eastAsia="zh-CN" w:bidi="ar-SA"/>
      </w:rPr>
      <w:pict>
        <v:shape id="_x0000_s1028" o:spid="_x0000_s1028" o:spt="202" type="#_x0000_t202" style="position:absolute;left:0pt;margin-top:-10.85pt;height:18.15pt;width:58.7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1026" o:spid="_x0000_s1026" o:spt="202" type="#_x0000_t202" style="position:absolute;left:0pt;margin-top:-10.85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6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zYTdkOTQ5MmQxNGZiNWMxMGIwY2ZmYjkzMmJhMmIifQ=="/>
  </w:docVars>
  <w:rsids>
    <w:rsidRoot w:val="007964BC"/>
    <w:rsid w:val="00052924"/>
    <w:rsid w:val="000720A5"/>
    <w:rsid w:val="000B423A"/>
    <w:rsid w:val="000D109B"/>
    <w:rsid w:val="000F499B"/>
    <w:rsid w:val="000F4C25"/>
    <w:rsid w:val="001E4D7B"/>
    <w:rsid w:val="002578BD"/>
    <w:rsid w:val="002C590E"/>
    <w:rsid w:val="002E36D4"/>
    <w:rsid w:val="003020EA"/>
    <w:rsid w:val="003539A9"/>
    <w:rsid w:val="003563E3"/>
    <w:rsid w:val="003E14EC"/>
    <w:rsid w:val="003E7EC9"/>
    <w:rsid w:val="004B2522"/>
    <w:rsid w:val="004D5B3C"/>
    <w:rsid w:val="00506E11"/>
    <w:rsid w:val="005126A0"/>
    <w:rsid w:val="00556FFD"/>
    <w:rsid w:val="005834A8"/>
    <w:rsid w:val="005A04D8"/>
    <w:rsid w:val="006413A8"/>
    <w:rsid w:val="006C683D"/>
    <w:rsid w:val="006F662A"/>
    <w:rsid w:val="00705A99"/>
    <w:rsid w:val="00726680"/>
    <w:rsid w:val="00736691"/>
    <w:rsid w:val="007964BC"/>
    <w:rsid w:val="00807797"/>
    <w:rsid w:val="008436C7"/>
    <w:rsid w:val="00855419"/>
    <w:rsid w:val="00886003"/>
    <w:rsid w:val="0089504D"/>
    <w:rsid w:val="00937458"/>
    <w:rsid w:val="0096313D"/>
    <w:rsid w:val="009E1767"/>
    <w:rsid w:val="00A86141"/>
    <w:rsid w:val="00B43DB1"/>
    <w:rsid w:val="00B82C2A"/>
    <w:rsid w:val="00CA480C"/>
    <w:rsid w:val="00CF71C8"/>
    <w:rsid w:val="00CF793E"/>
    <w:rsid w:val="00D01F18"/>
    <w:rsid w:val="00D14A3F"/>
    <w:rsid w:val="00D916F7"/>
    <w:rsid w:val="00DD206F"/>
    <w:rsid w:val="00E0113E"/>
    <w:rsid w:val="00E54514"/>
    <w:rsid w:val="00F677CB"/>
    <w:rsid w:val="00F67D8D"/>
    <w:rsid w:val="18633332"/>
    <w:rsid w:val="25342556"/>
    <w:rsid w:val="35E74D63"/>
    <w:rsid w:val="3FB95CBD"/>
    <w:rsid w:val="43D12679"/>
    <w:rsid w:val="580F2482"/>
    <w:rsid w:val="5FA93C04"/>
    <w:rsid w:val="7C217284"/>
    <w:rsid w:val="7D9A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link w:val="17"/>
    <w:unhideWhenUsed/>
    <w:qFormat/>
    <w:uiPriority w:val="99"/>
    <w:pPr>
      <w:spacing w:after="120"/>
    </w:p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link w:val="18"/>
    <w:qFormat/>
    <w:uiPriority w:val="0"/>
    <w:pPr>
      <w:adjustRightInd w:val="0"/>
      <w:snapToGrid w:val="0"/>
      <w:spacing w:line="560" w:lineRule="exact"/>
      <w:ind w:firstLine="880" w:firstLineChars="200"/>
    </w:pPr>
    <w:rPr>
      <w:rFonts w:ascii="Calibri" w:hAnsi="Calibri" w:eastAsia="仿宋_GB2312" w:cs="Times New Roman"/>
      <w:sz w:val="32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2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0"/>
    <w:link w:val="4"/>
    <w:semiHidden/>
    <w:qFormat/>
    <w:uiPriority w:val="99"/>
  </w:style>
  <w:style w:type="character" w:customStyle="1" w:styleId="17">
    <w:name w:val="正文文本 Char"/>
    <w:basedOn w:val="10"/>
    <w:link w:val="3"/>
    <w:semiHidden/>
    <w:qFormat/>
    <w:uiPriority w:val="99"/>
  </w:style>
  <w:style w:type="character" w:customStyle="1" w:styleId="18">
    <w:name w:val="正文首行缩进 Char"/>
    <w:basedOn w:val="17"/>
    <w:link w:val="7"/>
    <w:qFormat/>
    <w:uiPriority w:val="0"/>
    <w:rPr>
      <w:rFonts w:ascii="Calibri" w:hAnsi="Calibri" w:eastAsia="仿宋_GB2312" w:cs="Times New Roman"/>
      <w:sz w:val="32"/>
      <w:szCs w:val="24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2293</Words>
  <Characters>2322</Characters>
  <Lines>27</Lines>
  <Paragraphs>7</Paragraphs>
  <TotalTime>14</TotalTime>
  <ScaleCrop>false</ScaleCrop>
  <LinksUpToDate>false</LinksUpToDate>
  <CharactersWithSpaces>2367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2021-04-23T01:11:00Z</dcterms:created>
  <dc:creator>lenovo</dc:creator>
  <cp:lastModifiedBy>Administrator</cp:lastModifiedBy>
  <cp:lastPrinted>2022-08-08T03:09:00Z</cp:lastPrinted>
  <dcterms:modified xsi:type="dcterms:W3CDTF">2022-10-21T02:38:37Z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DFD5076794AA8010C7807B607089E99D</vt:lpwstr>
  </property>
</Properties>
</file>