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5E" w:rsidRPr="00E52EC3" w:rsidRDefault="00E52EC3">
      <w:pPr>
        <w:spacing w:line="500" w:lineRule="exact"/>
        <w:jc w:val="left"/>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附件1</w:t>
      </w:r>
    </w:p>
    <w:p w:rsidR="0038655E" w:rsidRPr="00E52EC3" w:rsidRDefault="0038655E">
      <w:pPr>
        <w:spacing w:line="500" w:lineRule="exact"/>
        <w:jc w:val="left"/>
        <w:rPr>
          <w:rFonts w:ascii="黑体" w:eastAsia="黑体" w:hAnsi="黑体"/>
          <w:sz w:val="30"/>
          <w:szCs w:val="30"/>
        </w:rPr>
      </w:pPr>
    </w:p>
    <w:p w:rsidR="0038655E" w:rsidRPr="00E52EC3" w:rsidRDefault="00E52EC3">
      <w:pPr>
        <w:spacing w:line="500" w:lineRule="exact"/>
        <w:jc w:val="center"/>
        <w:rPr>
          <w:rFonts w:ascii="黑体" w:eastAsia="黑体" w:hAnsi="黑体"/>
          <w:sz w:val="44"/>
          <w:szCs w:val="44"/>
        </w:rPr>
      </w:pPr>
      <w:bookmarkStart w:id="0" w:name="_Hlk516062324"/>
      <w:r w:rsidRPr="00E52EC3">
        <w:rPr>
          <w:rFonts w:ascii="黑体" w:eastAsia="黑体" w:hAnsi="黑体"/>
          <w:sz w:val="44"/>
          <w:szCs w:val="44"/>
        </w:rPr>
        <w:t>浙江省企业上云考核认定标准（试行）</w:t>
      </w:r>
    </w:p>
    <w:bookmarkEnd w:id="0"/>
    <w:p w:rsidR="0038655E" w:rsidRPr="00E52EC3" w:rsidRDefault="0038655E">
      <w:pPr>
        <w:spacing w:line="500" w:lineRule="exact"/>
        <w:jc w:val="center"/>
        <w:rPr>
          <w:rFonts w:ascii="黑体" w:eastAsia="黑体" w:hAnsi="黑体"/>
          <w:sz w:val="44"/>
          <w:szCs w:val="44"/>
        </w:rPr>
      </w:pPr>
    </w:p>
    <w:p w:rsidR="0038655E" w:rsidRPr="00E52EC3" w:rsidRDefault="00E52EC3">
      <w:pPr>
        <w:ind w:left="28" w:right="130"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为配合浙江省推进企业上云行动，规范企业上云的认定和</w:t>
      </w:r>
      <w:r w:rsidRPr="00E52EC3">
        <w:rPr>
          <w:rFonts w:ascii="仿宋_GB2312" w:eastAsia="仿宋_GB2312" w:hAnsi="仿宋_GB2312" w:cs="仿宋_GB2312"/>
          <w:bCs/>
          <w:noProof/>
          <w:sz w:val="30"/>
          <w:szCs w:val="30"/>
        </w:rPr>
        <w:drawing>
          <wp:inline distT="0" distB="0" distL="0" distR="0">
            <wp:extent cx="2540" cy="2540"/>
            <wp:effectExtent l="0" t="0" r="0" b="0"/>
            <wp:docPr id="4585" name="Picture 4585"/>
            <wp:cNvGraphicFramePr/>
            <a:graphic xmlns:a="http://schemas.openxmlformats.org/drawingml/2006/main">
              <a:graphicData uri="http://schemas.openxmlformats.org/drawingml/2006/picture">
                <pic:pic xmlns:pic="http://schemas.openxmlformats.org/drawingml/2006/picture">
                  <pic:nvPicPr>
                    <pic:cNvPr id="4585" name="Picture 4585"/>
                    <pic:cNvPicPr/>
                  </pic:nvPicPr>
                  <pic:blipFill>
                    <a:blip r:embed="rId8"/>
                    <a:stretch>
                      <a:fillRect/>
                    </a:stretch>
                  </pic:blipFill>
                  <pic:spPr>
                    <a:xfrm>
                      <a:off x="0" y="0"/>
                      <a:ext cx="3048" cy="3049"/>
                    </a:xfrm>
                    <a:prstGeom prst="rect">
                      <a:avLst/>
                    </a:prstGeom>
                  </pic:spPr>
                </pic:pic>
              </a:graphicData>
            </a:graphic>
          </wp:inline>
        </w:drawing>
      </w:r>
      <w:r w:rsidRPr="00E52EC3">
        <w:rPr>
          <w:rFonts w:ascii="仿宋_GB2312" w:eastAsia="仿宋_GB2312" w:hAnsi="仿宋_GB2312" w:cs="仿宋_GB2312"/>
          <w:bCs/>
          <w:sz w:val="30"/>
          <w:szCs w:val="30"/>
        </w:rPr>
        <w:t>统计，加强对企业上云工作的考核，并体现实际工作对企业云</w:t>
      </w:r>
      <w:r w:rsidRPr="00E52EC3">
        <w:rPr>
          <w:rFonts w:ascii="仿宋_GB2312" w:eastAsia="仿宋_GB2312" w:hAnsi="仿宋_GB2312" w:cs="仿宋_GB2312"/>
          <w:bCs/>
          <w:noProof/>
          <w:sz w:val="30"/>
          <w:szCs w:val="30"/>
        </w:rPr>
        <w:drawing>
          <wp:inline distT="0" distB="0" distL="0" distR="0">
            <wp:extent cx="2540" cy="2540"/>
            <wp:effectExtent l="0" t="0" r="0" b="0"/>
            <wp:docPr id="4586" name="Picture 4586"/>
            <wp:cNvGraphicFramePr/>
            <a:graphic xmlns:a="http://schemas.openxmlformats.org/drawingml/2006/main">
              <a:graphicData uri="http://schemas.openxmlformats.org/drawingml/2006/picture">
                <pic:pic xmlns:pic="http://schemas.openxmlformats.org/drawingml/2006/picture">
                  <pic:nvPicPr>
                    <pic:cNvPr id="4586" name="Picture 4586"/>
                    <pic:cNvPicPr/>
                  </pic:nvPicPr>
                  <pic:blipFill>
                    <a:blip r:embed="rId9"/>
                    <a:stretch>
                      <a:fillRect/>
                    </a:stretch>
                  </pic:blipFill>
                  <pic:spPr>
                    <a:xfrm>
                      <a:off x="0" y="0"/>
                      <a:ext cx="3048" cy="3049"/>
                    </a:xfrm>
                    <a:prstGeom prst="rect">
                      <a:avLst/>
                    </a:prstGeom>
                  </pic:spPr>
                </pic:pic>
              </a:graphicData>
            </a:graphic>
          </wp:inline>
        </w:drawing>
      </w:r>
      <w:r w:rsidRPr="00E52EC3">
        <w:rPr>
          <w:rFonts w:ascii="仿宋_GB2312" w:eastAsia="仿宋_GB2312" w:hAnsi="仿宋_GB2312" w:cs="仿宋_GB2312"/>
          <w:bCs/>
          <w:sz w:val="30"/>
          <w:szCs w:val="30"/>
        </w:rPr>
        <w:t>计算应用程度的要求，特制定本标准。</w:t>
      </w:r>
    </w:p>
    <w:p w:rsidR="0038655E" w:rsidRPr="00E52EC3" w:rsidRDefault="00E52EC3">
      <w:pPr>
        <w:ind w:right="1411" w:firstLineChars="200" w:firstLine="602"/>
        <w:rPr>
          <w:rFonts w:ascii="仿宋_GB2312" w:eastAsia="仿宋_GB2312" w:hAnsi="仿宋_GB2312" w:cs="仿宋_GB2312"/>
          <w:bCs/>
          <w:sz w:val="30"/>
          <w:szCs w:val="30"/>
        </w:rPr>
      </w:pPr>
      <w:r w:rsidRPr="00E52EC3">
        <w:rPr>
          <w:rFonts w:ascii="仿宋_GB2312" w:eastAsia="仿宋_GB2312" w:hAnsi="仿宋_GB2312" w:cs="仿宋_GB2312"/>
          <w:b/>
          <w:bCs/>
          <w:sz w:val="30"/>
          <w:szCs w:val="30"/>
        </w:rPr>
        <w:t>一、上云对象：</w:t>
      </w:r>
      <w:r w:rsidRPr="00E52EC3">
        <w:rPr>
          <w:rFonts w:ascii="仿宋_GB2312" w:eastAsia="仿宋_GB2312" w:hAnsi="仿宋_GB2312" w:cs="仿宋_GB2312"/>
          <w:bCs/>
          <w:sz w:val="30"/>
          <w:szCs w:val="30"/>
        </w:rPr>
        <w:t>浙江省行政区域内的企业法人；</w:t>
      </w:r>
    </w:p>
    <w:p w:rsidR="0038655E" w:rsidRPr="00E52EC3" w:rsidRDefault="00E52EC3">
      <w:pPr>
        <w:ind w:right="1411" w:firstLineChars="200" w:firstLine="602"/>
        <w:rPr>
          <w:rFonts w:ascii="仿宋_GB2312" w:eastAsia="仿宋_GB2312" w:hAnsi="仿宋_GB2312" w:cs="仿宋_GB2312"/>
          <w:bCs/>
          <w:sz w:val="30"/>
          <w:szCs w:val="30"/>
        </w:rPr>
      </w:pPr>
      <w:r w:rsidRPr="00E52EC3">
        <w:rPr>
          <w:rFonts w:ascii="仿宋_GB2312" w:eastAsia="仿宋_GB2312" w:hAnsi="仿宋_GB2312" w:cs="仿宋_GB2312"/>
          <w:b/>
          <w:bCs/>
          <w:sz w:val="30"/>
          <w:szCs w:val="30"/>
        </w:rPr>
        <w:t>二、上云时间：</w:t>
      </w:r>
      <w:r w:rsidRPr="00E52EC3">
        <w:rPr>
          <w:rFonts w:ascii="仿宋_GB2312" w:eastAsia="仿宋_GB2312" w:hAnsi="仿宋_GB2312" w:cs="仿宋_GB2312"/>
          <w:bCs/>
          <w:sz w:val="30"/>
          <w:szCs w:val="30"/>
        </w:rPr>
        <w:t>考核期当年；</w:t>
      </w:r>
    </w:p>
    <w:p w:rsidR="0038655E" w:rsidRPr="00E52EC3" w:rsidRDefault="00E52EC3">
      <w:pPr>
        <w:spacing w:after="38"/>
        <w:ind w:left="28" w:right="47" w:firstLineChars="200" w:firstLine="602"/>
        <w:rPr>
          <w:rFonts w:ascii="仿宋_GB2312" w:eastAsia="仿宋_GB2312" w:hAnsi="仿宋_GB2312" w:cs="仿宋_GB2312"/>
          <w:bCs/>
          <w:sz w:val="30"/>
          <w:szCs w:val="30"/>
        </w:rPr>
      </w:pPr>
      <w:r w:rsidRPr="00E52EC3">
        <w:rPr>
          <w:rFonts w:ascii="仿宋_GB2312" w:eastAsia="仿宋_GB2312" w:hAnsi="仿宋_GB2312" w:cs="仿宋_GB2312"/>
          <w:b/>
          <w:bCs/>
          <w:sz w:val="30"/>
          <w:szCs w:val="30"/>
        </w:rPr>
        <w:t>三、上云范围：</w:t>
      </w:r>
      <w:r w:rsidRPr="00E52EC3">
        <w:rPr>
          <w:rFonts w:ascii="仿宋_GB2312" w:eastAsia="仿宋_GB2312" w:hAnsi="仿宋_GB2312" w:cs="仿宋_GB2312"/>
          <w:bCs/>
          <w:sz w:val="30"/>
          <w:szCs w:val="30"/>
        </w:rPr>
        <w:t>具有基础系统上云、管理上云和业务上云等云计算应用的属性，符合《浙江省信息化工作领导小组关于印发浙江省“企业上云”行动计划（2017年）的通知》（浙信发〔2017〕1号）附件2相关概念解释和“企业上云”内容参考的范围。</w:t>
      </w:r>
    </w:p>
    <w:p w:rsidR="0038655E" w:rsidRPr="00E52EC3" w:rsidRDefault="00E52EC3">
      <w:pPr>
        <w:spacing w:after="38"/>
        <w:ind w:left="28" w:right="47" w:firstLineChars="200" w:firstLine="602"/>
        <w:rPr>
          <w:rFonts w:ascii="仿宋_GB2312" w:eastAsia="仿宋_GB2312" w:hAnsi="仿宋_GB2312" w:cs="仿宋_GB2312"/>
          <w:b/>
          <w:bCs/>
          <w:sz w:val="30"/>
          <w:szCs w:val="30"/>
        </w:rPr>
      </w:pPr>
      <w:r w:rsidRPr="00E52EC3">
        <w:rPr>
          <w:rFonts w:ascii="仿宋_GB2312" w:eastAsia="仿宋_GB2312" w:hAnsi="仿宋_GB2312" w:cs="仿宋_GB2312"/>
          <w:b/>
          <w:bCs/>
          <w:sz w:val="30"/>
          <w:szCs w:val="30"/>
        </w:rPr>
        <w:t>四、上云认定准则</w:t>
      </w:r>
    </w:p>
    <w:p w:rsidR="0038655E" w:rsidRPr="00E52EC3" w:rsidRDefault="00E52EC3">
      <w:pPr>
        <w:spacing w:after="71"/>
        <w:ind w:left="28" w:right="47"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在符合企业上云范围的前提下，本着推动企业云计算应用由浅入深、逐步达到较高水平的要求，根据工作实际，还将视企业资源投入、云端业务新增、迁移行为发生情况进行认定。</w:t>
      </w:r>
    </w:p>
    <w:p w:rsidR="0038655E" w:rsidRPr="00E52EC3" w:rsidRDefault="00E52EC3">
      <w:pPr>
        <w:spacing w:after="120"/>
        <w:ind w:left="28" w:right="47" w:firstLineChars="200" w:firstLine="602"/>
        <w:rPr>
          <w:rFonts w:ascii="仿宋_GB2312" w:eastAsia="仿宋_GB2312" w:hAnsi="仿宋_GB2312" w:cs="仿宋_GB2312"/>
          <w:bCs/>
          <w:sz w:val="30"/>
          <w:szCs w:val="30"/>
        </w:rPr>
      </w:pPr>
      <w:r w:rsidRPr="00E52EC3">
        <w:rPr>
          <w:rFonts w:ascii="仿宋_GB2312" w:eastAsia="仿宋_GB2312" w:hAnsi="仿宋_GB2312" w:cs="仿宋_GB2312"/>
          <w:b/>
          <w:bCs/>
          <w:sz w:val="30"/>
          <w:szCs w:val="30"/>
        </w:rPr>
        <w:t>资源投入：</w:t>
      </w:r>
      <w:r w:rsidRPr="00E52EC3">
        <w:rPr>
          <w:rFonts w:ascii="仿宋_GB2312" w:eastAsia="仿宋_GB2312" w:hAnsi="仿宋_GB2312" w:cs="仿宋_GB2312"/>
          <w:bCs/>
          <w:sz w:val="30"/>
          <w:szCs w:val="30"/>
        </w:rPr>
        <w:t>指企业为实现云计算应用，在资金、人力、技术、信息、物质等方面的资源投入。</w:t>
      </w:r>
    </w:p>
    <w:p w:rsidR="0038655E" w:rsidRPr="00E52EC3" w:rsidRDefault="00E52EC3">
      <w:pPr>
        <w:spacing w:after="72"/>
        <w:ind w:left="28" w:right="47" w:firstLineChars="200" w:firstLine="602"/>
        <w:rPr>
          <w:rFonts w:ascii="仿宋_GB2312" w:eastAsia="仿宋_GB2312" w:hAnsi="仿宋_GB2312" w:cs="仿宋_GB2312"/>
          <w:bCs/>
          <w:sz w:val="30"/>
          <w:szCs w:val="30"/>
        </w:rPr>
      </w:pPr>
      <w:r w:rsidRPr="00E52EC3">
        <w:rPr>
          <w:rFonts w:ascii="仿宋_GB2312" w:eastAsia="仿宋_GB2312" w:hAnsi="仿宋_GB2312" w:cs="仿宋_GB2312"/>
          <w:b/>
          <w:bCs/>
          <w:sz w:val="30"/>
          <w:szCs w:val="30"/>
        </w:rPr>
        <w:t>云端业务新增：</w:t>
      </w:r>
      <w:r w:rsidRPr="00E52EC3">
        <w:rPr>
          <w:rFonts w:ascii="仿宋_GB2312" w:eastAsia="仿宋_GB2312" w:hAnsi="仿宋_GB2312" w:cs="仿宋_GB2312"/>
          <w:bCs/>
          <w:sz w:val="30"/>
          <w:szCs w:val="30"/>
        </w:rPr>
        <w:t>指企业首次应用云计算产品或服务，强调的是企业实现云端业务从无到有的过程。</w:t>
      </w:r>
    </w:p>
    <w:p w:rsidR="0038655E" w:rsidRPr="00E52EC3" w:rsidRDefault="00E52EC3">
      <w:pPr>
        <w:ind w:left="28" w:right="47" w:firstLineChars="200" w:firstLine="602"/>
        <w:rPr>
          <w:rFonts w:ascii="仿宋_GB2312" w:eastAsia="仿宋_GB2312" w:hAnsi="仿宋_GB2312" w:cs="仿宋_GB2312"/>
          <w:bCs/>
          <w:sz w:val="30"/>
          <w:szCs w:val="30"/>
        </w:rPr>
        <w:sectPr w:rsidR="0038655E" w:rsidRPr="00E52EC3">
          <w:footerReference w:type="even" r:id="rId10"/>
          <w:footerReference w:type="default" r:id="rId11"/>
          <w:footerReference w:type="first" r:id="rId12"/>
          <w:pgSz w:w="11904" w:h="16834"/>
          <w:pgMar w:top="2000" w:right="1522" w:bottom="1452" w:left="1555" w:header="720" w:footer="720" w:gutter="0"/>
          <w:cols w:space="720"/>
        </w:sectPr>
      </w:pPr>
      <w:r w:rsidRPr="00E52EC3">
        <w:rPr>
          <w:rFonts w:ascii="仿宋_GB2312" w:eastAsia="仿宋_GB2312" w:hAnsi="仿宋_GB2312" w:cs="仿宋_GB2312"/>
          <w:b/>
          <w:bCs/>
          <w:sz w:val="30"/>
          <w:szCs w:val="30"/>
        </w:rPr>
        <w:t>迁移行为发生：</w:t>
      </w:r>
      <w:r w:rsidRPr="00E52EC3">
        <w:rPr>
          <w:rFonts w:ascii="仿宋_GB2312" w:eastAsia="仿宋_GB2312" w:hAnsi="仿宋_GB2312" w:cs="仿宋_GB2312"/>
          <w:bCs/>
          <w:sz w:val="30"/>
          <w:szCs w:val="30"/>
        </w:rPr>
        <w:t>指企业将其信息系统或数据从物理机迁移到云资源池，从云资源池获得计算服务。若企业为首次构建</w:t>
      </w:r>
      <w:r w:rsidRPr="00E52EC3">
        <w:rPr>
          <w:rFonts w:ascii="仿宋_GB2312" w:eastAsia="仿宋_GB2312" w:hAnsi="仿宋_GB2312" w:cs="仿宋_GB2312" w:hint="eastAsia"/>
          <w:bCs/>
          <w:sz w:val="30"/>
          <w:szCs w:val="30"/>
        </w:rPr>
        <w:t>信息系统并</w:t>
      </w:r>
    </w:p>
    <w:p w:rsidR="0038655E" w:rsidRPr="00E52EC3" w:rsidRDefault="00E52EC3">
      <w:pPr>
        <w:spacing w:after="59"/>
        <w:ind w:right="47"/>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lastRenderedPageBreak/>
        <w:t>部署在云资源池，或直接应用SaaS服务的，则无需考虑其迁移行为。</w:t>
      </w:r>
    </w:p>
    <w:p w:rsidR="0038655E" w:rsidRPr="00E52EC3" w:rsidRDefault="00E52EC3">
      <w:pPr>
        <w:spacing w:after="3" w:line="259" w:lineRule="auto"/>
        <w:ind w:left="10" w:right="937" w:hanging="10"/>
        <w:jc w:val="center"/>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 xml:space="preserve">   企业需同时满足以上三种情况，方可认定为新增上云业。</w:t>
      </w:r>
    </w:p>
    <w:p w:rsidR="0038655E" w:rsidRPr="00E52EC3" w:rsidRDefault="00E52EC3">
      <w:pPr>
        <w:spacing w:after="3" w:line="259" w:lineRule="auto"/>
        <w:ind w:right="787" w:firstLineChars="200" w:firstLine="602"/>
        <w:rPr>
          <w:rFonts w:ascii="仿宋_GB2312" w:eastAsia="仿宋_GB2312" w:hAnsi="仿宋_GB2312" w:cs="仿宋_GB2312"/>
          <w:b/>
          <w:bCs/>
          <w:sz w:val="30"/>
          <w:szCs w:val="30"/>
        </w:rPr>
      </w:pPr>
      <w:r w:rsidRPr="00E52EC3">
        <w:rPr>
          <w:rFonts w:ascii="仿宋_GB2312" w:eastAsia="仿宋_GB2312" w:hAnsi="仿宋_GB2312" w:cs="仿宋_GB2312"/>
          <w:b/>
          <w:bCs/>
          <w:sz w:val="30"/>
          <w:szCs w:val="30"/>
        </w:rPr>
        <w:t>五、常用云计算应用类型认定</w:t>
      </w:r>
    </w:p>
    <w:p w:rsidR="0038655E" w:rsidRPr="00E52EC3" w:rsidRDefault="00E52EC3">
      <w:pPr>
        <w:ind w:left="28" w:right="178"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云计算业务范围涉及多种类型的功能应用，不能仅基于应</w:t>
      </w:r>
      <w:r w:rsidRPr="00E52EC3">
        <w:rPr>
          <w:rFonts w:ascii="仿宋_GB2312" w:eastAsia="仿宋_GB2312" w:hAnsi="仿宋_GB2312" w:cs="仿宋_GB2312"/>
          <w:bCs/>
          <w:noProof/>
          <w:sz w:val="30"/>
          <w:szCs w:val="30"/>
        </w:rPr>
        <w:drawing>
          <wp:inline distT="0" distB="0" distL="0" distR="0">
            <wp:extent cx="2540" cy="2540"/>
            <wp:effectExtent l="0" t="0" r="0" b="0"/>
            <wp:docPr id="7758" name="Picture 7758"/>
            <wp:cNvGraphicFramePr/>
            <a:graphic xmlns:a="http://schemas.openxmlformats.org/drawingml/2006/main">
              <a:graphicData uri="http://schemas.openxmlformats.org/drawingml/2006/picture">
                <pic:pic xmlns:pic="http://schemas.openxmlformats.org/drawingml/2006/picture">
                  <pic:nvPicPr>
                    <pic:cNvPr id="7758" name="Picture 7758"/>
                    <pic:cNvPicPr/>
                  </pic:nvPicPr>
                  <pic:blipFill>
                    <a:blip r:embed="rId9"/>
                    <a:stretch>
                      <a:fillRect/>
                    </a:stretch>
                  </pic:blipFill>
                  <pic:spPr>
                    <a:xfrm>
                      <a:off x="0" y="0"/>
                      <a:ext cx="3049" cy="3049"/>
                    </a:xfrm>
                    <a:prstGeom prst="rect">
                      <a:avLst/>
                    </a:prstGeom>
                  </pic:spPr>
                </pic:pic>
              </a:graphicData>
            </a:graphic>
          </wp:inline>
        </w:drawing>
      </w:r>
      <w:r w:rsidRPr="00E52EC3">
        <w:rPr>
          <w:rFonts w:ascii="仿宋_GB2312" w:eastAsia="仿宋_GB2312" w:hAnsi="仿宋_GB2312" w:cs="仿宋_GB2312"/>
          <w:bCs/>
          <w:sz w:val="30"/>
          <w:szCs w:val="30"/>
        </w:rPr>
        <w:t>用工具类别去界定是否属于企业上云，需要根据企业实际应用情况具体分析，结合上云范围和上云认定准则进行界定。下面对几种常用类型加以分析说明。</w:t>
      </w:r>
    </w:p>
    <w:p w:rsidR="0038655E" w:rsidRPr="00E52EC3" w:rsidRDefault="00E52EC3">
      <w:pPr>
        <w:ind w:left="835" w:right="47"/>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（一）即时通讯类应用</w:t>
      </w:r>
    </w:p>
    <w:p w:rsidR="0038655E" w:rsidRPr="00E52EC3" w:rsidRDefault="00E52EC3">
      <w:pPr>
        <w:ind w:left="28" w:right="144" w:firstLineChars="250" w:firstLine="75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以普及度较高的“钉钉”、“企业微信”</w:t>
      </w:r>
      <w:r w:rsidRPr="00E52EC3">
        <w:rPr>
          <w:rFonts w:ascii="仿宋_GB2312" w:eastAsia="仿宋_GB2312" w:hAnsi="仿宋_GB2312" w:cs="仿宋_GB2312" w:hint="eastAsia"/>
          <w:bCs/>
          <w:sz w:val="30"/>
          <w:szCs w:val="30"/>
        </w:rPr>
        <w:t>、</w:t>
      </w:r>
      <w:r w:rsidRPr="00E52EC3">
        <w:rPr>
          <w:rFonts w:ascii="仿宋_GB2312" w:eastAsia="仿宋_GB2312" w:hAnsi="仿宋_GB2312" w:cs="仿宋_GB2312"/>
          <w:bCs/>
          <w:sz w:val="30"/>
          <w:szCs w:val="30"/>
        </w:rPr>
        <w:t>“政企彩云</w:t>
      </w:r>
      <w:r w:rsidRPr="00E52EC3">
        <w:rPr>
          <w:rFonts w:ascii="仿宋_GB2312" w:eastAsia="仿宋_GB2312" w:hAnsi="仿宋_GB2312" w:cs="仿宋_GB2312" w:hint="eastAsia"/>
          <w:bCs/>
          <w:sz w:val="30"/>
          <w:szCs w:val="30"/>
        </w:rPr>
        <w:t>”</w:t>
      </w:r>
      <w:r w:rsidRPr="00E52EC3">
        <w:rPr>
          <w:rFonts w:ascii="仿宋_GB2312" w:eastAsia="仿宋_GB2312" w:hAnsi="仿宋_GB2312" w:cs="仿宋_GB2312"/>
          <w:bCs/>
          <w:sz w:val="30"/>
          <w:szCs w:val="30"/>
        </w:rPr>
        <w:t>为例说明。基本功能是企业通讯录、沟通、智能电话、视频会议、邮件查询等，一般是云服务提供商直接向企业免费提供的，企业只需直接使用，不涉及企业资源投入、数据迁移，同时考虑到将功能模块拆分会造成实际统计过于复杂，故不认定为企业上云应用。</w:t>
      </w:r>
    </w:p>
    <w:p w:rsidR="0038655E" w:rsidRPr="00E52EC3" w:rsidRDefault="00E52EC3">
      <w:pPr>
        <w:ind w:left="854" w:right="47"/>
        <w:rPr>
          <w:rFonts w:ascii="仿宋_GB2312" w:eastAsia="仿宋_GB2312" w:hAnsi="仿宋_GB2312" w:cs="仿宋_GB2312"/>
          <w:bCs/>
          <w:sz w:val="30"/>
          <w:szCs w:val="30"/>
        </w:rPr>
      </w:pPr>
      <w:r w:rsidRPr="00E52EC3">
        <w:rPr>
          <w:rFonts w:ascii="仿宋_GB2312" w:eastAsia="仿宋_GB2312" w:hAnsi="仿宋_GB2312" w:cs="仿宋_GB2312" w:hint="eastAsia"/>
          <w:bCs/>
          <w:sz w:val="30"/>
          <w:szCs w:val="30"/>
        </w:rPr>
        <w:t>（二</w:t>
      </w:r>
      <w:r w:rsidRPr="00E52EC3">
        <w:rPr>
          <w:rFonts w:ascii="仿宋_GB2312" w:eastAsia="仿宋_GB2312" w:hAnsi="仿宋_GB2312" w:cs="仿宋_GB2312"/>
          <w:bCs/>
          <w:sz w:val="30"/>
          <w:szCs w:val="30"/>
        </w:rPr>
        <w:t>）邮箱类应用</w:t>
      </w:r>
    </w:p>
    <w:p w:rsidR="0038655E" w:rsidRPr="00E52EC3" w:rsidRDefault="00E52EC3">
      <w:pPr>
        <w:ind w:left="28" w:right="120" w:firstLineChars="250" w:firstLine="75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以普及度最高的“网易企业邮箱”、“腾讯企业邮箱”、“阿里云企业邮箱”为例说明。基本功能是邮件收发、邮件撤回、邮件群组、超大附件、自助查询、邮件代收、账号管理等，是服务提供商提供的邮箱基础功能，也是一种普遍性的沟通方式，企业仅作使用，不涉及企业数据和流程迁移、也无需企业资源投入，不认定为企业上云应用。</w:t>
      </w:r>
    </w:p>
    <w:p w:rsidR="0038655E" w:rsidRPr="00E52EC3" w:rsidRDefault="00E52EC3">
      <w:pPr>
        <w:widowControl/>
        <w:spacing w:after="10" w:line="265" w:lineRule="auto"/>
        <w:ind w:right="47"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hint="eastAsia"/>
          <w:bCs/>
          <w:sz w:val="30"/>
          <w:szCs w:val="30"/>
        </w:rPr>
        <w:t>（三</w:t>
      </w:r>
      <w:r w:rsidRPr="00E52EC3">
        <w:rPr>
          <w:rFonts w:ascii="仿宋_GB2312" w:eastAsia="仿宋_GB2312" w:hAnsi="仿宋_GB2312" w:cs="仿宋_GB2312"/>
          <w:bCs/>
          <w:sz w:val="30"/>
          <w:szCs w:val="30"/>
        </w:rPr>
        <w:t>）电商类应用</w:t>
      </w:r>
    </w:p>
    <w:p w:rsidR="0038655E" w:rsidRPr="00E52EC3" w:rsidRDefault="00E52EC3">
      <w:pPr>
        <w:ind w:right="47"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以电商类应用1688服务市场为例说明。</w:t>
      </w:r>
    </w:p>
    <w:p w:rsidR="0038655E" w:rsidRPr="00E52EC3" w:rsidRDefault="00E52EC3">
      <w:pPr>
        <w:ind w:left="28" w:right="47" w:firstLineChars="200" w:firstLine="602"/>
        <w:rPr>
          <w:rFonts w:ascii="仿宋_GB2312" w:eastAsia="仿宋_GB2312" w:hAnsi="仿宋_GB2312" w:cs="仿宋_GB2312"/>
          <w:bCs/>
          <w:sz w:val="30"/>
          <w:szCs w:val="30"/>
        </w:rPr>
      </w:pPr>
      <w:r w:rsidRPr="00E52EC3">
        <w:rPr>
          <w:rFonts w:ascii="仿宋_GB2312" w:eastAsia="仿宋_GB2312" w:hAnsi="仿宋_GB2312" w:cs="仿宋_GB2312"/>
          <w:b/>
          <w:bCs/>
          <w:sz w:val="30"/>
          <w:szCs w:val="30"/>
        </w:rPr>
        <w:lastRenderedPageBreak/>
        <w:t>基础服务能力：</w:t>
      </w:r>
      <w:r w:rsidRPr="00E52EC3">
        <w:rPr>
          <w:rFonts w:ascii="仿宋_GB2312" w:eastAsia="仿宋_GB2312" w:hAnsi="仿宋_GB2312" w:cs="仿宋_GB2312"/>
          <w:bCs/>
          <w:sz w:val="30"/>
          <w:szCs w:val="30"/>
        </w:rPr>
        <w:t>电商类应用的开店装修、应用工具、运营服务、综合服务等所需的技术和资源支撑，均由平台服务商提供，不涉及企业数据和流程迁移，不认定为企业上云应用。</w:t>
      </w:r>
    </w:p>
    <w:p w:rsidR="0038655E" w:rsidRPr="00E52EC3" w:rsidRDefault="00E52EC3">
      <w:pPr>
        <w:ind w:left="28" w:right="47" w:firstLineChars="200" w:firstLine="602"/>
        <w:rPr>
          <w:rFonts w:ascii="仿宋_GB2312" w:eastAsia="仿宋_GB2312" w:hAnsi="仿宋_GB2312" w:cs="仿宋_GB2312"/>
          <w:bCs/>
          <w:sz w:val="30"/>
          <w:szCs w:val="30"/>
        </w:rPr>
      </w:pPr>
      <w:r w:rsidRPr="00E52EC3">
        <w:rPr>
          <w:rFonts w:ascii="仿宋_GB2312" w:eastAsia="仿宋_GB2312" w:hAnsi="仿宋_GB2312" w:cs="仿宋_GB2312"/>
          <w:b/>
          <w:bCs/>
          <w:noProof/>
          <w:sz w:val="30"/>
          <w:szCs w:val="30"/>
        </w:rPr>
        <w:drawing>
          <wp:anchor distT="0" distB="0" distL="114300" distR="114300" simplePos="0" relativeHeight="251652096" behindDoc="0" locked="0" layoutInCell="1" allowOverlap="0">
            <wp:simplePos x="0" y="0"/>
            <wp:positionH relativeFrom="page">
              <wp:posOffset>417195</wp:posOffset>
            </wp:positionH>
            <wp:positionV relativeFrom="page">
              <wp:posOffset>3484245</wp:posOffset>
            </wp:positionV>
            <wp:extent cx="12065" cy="12065"/>
            <wp:effectExtent l="0" t="0" r="0" b="0"/>
            <wp:wrapSquare wrapText="bothSides"/>
            <wp:docPr id="10889" name="Picture 10889"/>
            <wp:cNvGraphicFramePr/>
            <a:graphic xmlns:a="http://schemas.openxmlformats.org/drawingml/2006/main">
              <a:graphicData uri="http://schemas.openxmlformats.org/drawingml/2006/picture">
                <pic:pic xmlns:pic="http://schemas.openxmlformats.org/drawingml/2006/picture">
                  <pic:nvPicPr>
                    <pic:cNvPr id="10889" name="Picture 10889"/>
                    <pic:cNvPicPr/>
                  </pic:nvPicPr>
                  <pic:blipFill>
                    <a:blip r:embed="rId13"/>
                    <a:stretch>
                      <a:fillRect/>
                    </a:stretch>
                  </pic:blipFill>
                  <pic:spPr>
                    <a:xfrm>
                      <a:off x="0" y="0"/>
                      <a:ext cx="12192" cy="12195"/>
                    </a:xfrm>
                    <a:prstGeom prst="rect">
                      <a:avLst/>
                    </a:prstGeom>
                  </pic:spPr>
                </pic:pic>
              </a:graphicData>
            </a:graphic>
          </wp:anchor>
        </w:drawing>
      </w:r>
      <w:r w:rsidRPr="00E52EC3">
        <w:rPr>
          <w:rFonts w:ascii="仿宋_GB2312" w:eastAsia="仿宋_GB2312" w:hAnsi="仿宋_GB2312" w:cs="仿宋_GB2312"/>
          <w:b/>
          <w:bCs/>
          <w:sz w:val="30"/>
          <w:szCs w:val="30"/>
        </w:rPr>
        <w:t>平台服务能力：</w:t>
      </w:r>
      <w:r w:rsidRPr="00E52EC3">
        <w:rPr>
          <w:rFonts w:ascii="仿宋_GB2312" w:eastAsia="仿宋_GB2312" w:hAnsi="仿宋_GB2312" w:cs="仿宋_GB2312"/>
          <w:bCs/>
          <w:sz w:val="30"/>
          <w:szCs w:val="30"/>
        </w:rPr>
        <w:t>订单同步、自动审单、智能配货、全网分销、数据报表等需要企业将销售数据、物流数据等通过服务平台接口迁移到云端存储，并基于云计算进行处理，支撑企业业</w:t>
      </w:r>
      <w:r w:rsidRPr="00E52EC3">
        <w:rPr>
          <w:rFonts w:ascii="仿宋_GB2312" w:eastAsia="仿宋_GB2312" w:hAnsi="仿宋_GB2312" w:cs="仿宋_GB2312"/>
          <w:bCs/>
          <w:noProof/>
          <w:sz w:val="30"/>
          <w:szCs w:val="30"/>
        </w:rPr>
        <w:drawing>
          <wp:inline distT="0" distB="0" distL="0" distR="0">
            <wp:extent cx="5715" cy="2540"/>
            <wp:effectExtent l="0" t="0" r="0" b="0"/>
            <wp:docPr id="10890" name="Picture 10890"/>
            <wp:cNvGraphicFramePr/>
            <a:graphic xmlns:a="http://schemas.openxmlformats.org/drawingml/2006/main">
              <a:graphicData uri="http://schemas.openxmlformats.org/drawingml/2006/picture">
                <pic:pic xmlns:pic="http://schemas.openxmlformats.org/drawingml/2006/picture">
                  <pic:nvPicPr>
                    <pic:cNvPr id="10890" name="Picture 10890"/>
                    <pic:cNvPicPr/>
                  </pic:nvPicPr>
                  <pic:blipFill>
                    <a:blip r:embed="rId14"/>
                    <a:stretch>
                      <a:fillRect/>
                    </a:stretch>
                  </pic:blipFill>
                  <pic:spPr>
                    <a:xfrm>
                      <a:off x="0" y="0"/>
                      <a:ext cx="6097" cy="3049"/>
                    </a:xfrm>
                    <a:prstGeom prst="rect">
                      <a:avLst/>
                    </a:prstGeom>
                  </pic:spPr>
                </pic:pic>
              </a:graphicData>
            </a:graphic>
          </wp:inline>
        </w:drawing>
      </w:r>
      <w:r w:rsidRPr="00E52EC3">
        <w:rPr>
          <w:rFonts w:ascii="仿宋_GB2312" w:eastAsia="仿宋_GB2312" w:hAnsi="仿宋_GB2312" w:cs="仿宋_GB2312"/>
          <w:bCs/>
          <w:sz w:val="30"/>
          <w:szCs w:val="30"/>
        </w:rPr>
        <w:t>务。整个能力实现涉及企业的经营数据和运营流程迁移，智能</w:t>
      </w:r>
      <w:r w:rsidRPr="00E52EC3">
        <w:rPr>
          <w:rFonts w:ascii="仿宋_GB2312" w:eastAsia="仿宋_GB2312" w:hAnsi="仿宋_GB2312" w:cs="仿宋_GB2312" w:hint="eastAsia"/>
          <w:bCs/>
          <w:sz w:val="30"/>
          <w:szCs w:val="30"/>
        </w:rPr>
        <w:t>配货</w:t>
      </w:r>
      <w:r w:rsidRPr="00E52EC3">
        <w:rPr>
          <w:rFonts w:ascii="仿宋_GB2312" w:eastAsia="仿宋_GB2312" w:hAnsi="仿宋_GB2312" w:cs="仿宋_GB2312"/>
          <w:bCs/>
          <w:sz w:val="30"/>
          <w:szCs w:val="30"/>
        </w:rPr>
        <w:t>、自动审单等新增业务也需基于云计算实现，企业也要投入人力资源、物质资源、信息资源、管理资源作为支撑，涉及供应链上云、营销上云、后服上云和大数据分析应用服务，可认定为企业上云应用。</w:t>
      </w:r>
    </w:p>
    <w:p w:rsidR="0038655E" w:rsidRPr="00E52EC3" w:rsidRDefault="00E52EC3">
      <w:pPr>
        <w:widowControl/>
        <w:spacing w:after="9" w:line="248" w:lineRule="auto"/>
        <w:ind w:right="47"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hint="eastAsia"/>
          <w:bCs/>
          <w:sz w:val="30"/>
          <w:szCs w:val="30"/>
        </w:rPr>
        <w:t>（四</w:t>
      </w:r>
      <w:r w:rsidRPr="00E52EC3">
        <w:rPr>
          <w:rFonts w:ascii="仿宋_GB2312" w:eastAsia="仿宋_GB2312" w:hAnsi="仿宋_GB2312" w:cs="仿宋_GB2312"/>
          <w:bCs/>
          <w:sz w:val="30"/>
          <w:szCs w:val="30"/>
        </w:rPr>
        <w:t>）信息网站类</w:t>
      </w:r>
    </w:p>
    <w:p w:rsidR="0038655E" w:rsidRPr="00E52EC3" w:rsidRDefault="00E52EC3">
      <w:pPr>
        <w:ind w:left="28" w:right="47"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信息网站（如各类行业信息网站、生活服务信息网站等）作为信息发布和获取的中间渠道，如网站的建设和日常运维以云计算技术和云端资源作为支撑，可认定为企业上云，反之则不认定为企业上云。</w:t>
      </w:r>
    </w:p>
    <w:p w:rsidR="0038655E" w:rsidRPr="00E52EC3" w:rsidRDefault="00E52EC3">
      <w:pPr>
        <w:ind w:left="28" w:right="47"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需要注意的是，在信息网站展示各类信息或接受信息服务的企业，其是否属于上云与该信息网站是否云化无关，需根据企业自身实际应用是否满足企业上云范围和上云认定准则确定。</w:t>
      </w:r>
    </w:p>
    <w:p w:rsidR="0038655E" w:rsidRPr="00E52EC3" w:rsidRDefault="00E52EC3">
      <w:pPr>
        <w:ind w:left="28" w:right="47"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hint="eastAsia"/>
          <w:bCs/>
          <w:sz w:val="30"/>
          <w:szCs w:val="30"/>
        </w:rPr>
        <w:t>（五</w:t>
      </w:r>
      <w:r w:rsidRPr="00E52EC3">
        <w:rPr>
          <w:rFonts w:ascii="仿宋_GB2312" w:eastAsia="仿宋_GB2312" w:hAnsi="仿宋_GB2312" w:cs="仿宋_GB2312"/>
          <w:bCs/>
          <w:sz w:val="30"/>
          <w:szCs w:val="30"/>
        </w:rPr>
        <w:t>）企业门户网站类</w:t>
      </w:r>
    </w:p>
    <w:p w:rsidR="0038655E" w:rsidRPr="00E52EC3" w:rsidRDefault="00E52EC3">
      <w:pPr>
        <w:spacing w:after="3" w:line="259" w:lineRule="auto"/>
        <w:ind w:left="10" w:right="619"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企业门户网站的主要作用是对外宣传和对内服务，企业会根据实际应用需求对网站的数据和运营给予合理的资源投入。若网站的建设、运维、数据存储和更新是在云端实现，则可认</w:t>
      </w:r>
      <w:r w:rsidRPr="00E52EC3">
        <w:rPr>
          <w:rFonts w:ascii="仿宋_GB2312" w:eastAsia="仿宋_GB2312" w:hAnsi="仿宋_GB2312" w:cs="仿宋_GB2312"/>
          <w:bCs/>
          <w:sz w:val="30"/>
          <w:szCs w:val="30"/>
        </w:rPr>
        <w:lastRenderedPageBreak/>
        <w:t>定为企业上云应用；否则不认定为企业上云应用。</w:t>
      </w:r>
    </w:p>
    <w:p w:rsidR="00F452A9" w:rsidRPr="00E52EC3" w:rsidRDefault="00E52EC3" w:rsidP="00F452A9">
      <w:pPr>
        <w:spacing w:after="601" w:line="259" w:lineRule="auto"/>
        <w:ind w:left="39" w:firstLineChars="200" w:firstLine="600"/>
        <w:jc w:val="left"/>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以上常用云计算应用类型的认定，首先需具有云计算应用的属性，在实际认定中，需根据企业实际应用是否满足企业上</w:t>
      </w:r>
      <w:r w:rsidRPr="00E52EC3">
        <w:rPr>
          <w:rFonts w:ascii="仿宋_GB2312" w:eastAsia="仿宋_GB2312" w:hAnsi="仿宋_GB2312" w:cs="仿宋_GB2312"/>
          <w:bCs/>
          <w:noProof/>
          <w:sz w:val="30"/>
          <w:szCs w:val="30"/>
        </w:rPr>
        <w:drawing>
          <wp:inline distT="0" distB="0" distL="0" distR="0">
            <wp:extent cx="2540" cy="2540"/>
            <wp:effectExtent l="0" t="0" r="0" b="0"/>
            <wp:docPr id="12412" name="Picture 12412"/>
            <wp:cNvGraphicFramePr/>
            <a:graphic xmlns:a="http://schemas.openxmlformats.org/drawingml/2006/main">
              <a:graphicData uri="http://schemas.openxmlformats.org/drawingml/2006/picture">
                <pic:pic xmlns:pic="http://schemas.openxmlformats.org/drawingml/2006/picture">
                  <pic:nvPicPr>
                    <pic:cNvPr id="12412" name="Picture 12412"/>
                    <pic:cNvPicPr/>
                  </pic:nvPicPr>
                  <pic:blipFill>
                    <a:blip r:embed="rId15"/>
                    <a:stretch>
                      <a:fillRect/>
                    </a:stretch>
                  </pic:blipFill>
                  <pic:spPr>
                    <a:xfrm>
                      <a:off x="0" y="0"/>
                      <a:ext cx="3048" cy="3049"/>
                    </a:xfrm>
                    <a:prstGeom prst="rect">
                      <a:avLst/>
                    </a:prstGeom>
                  </pic:spPr>
                </pic:pic>
              </a:graphicData>
            </a:graphic>
          </wp:inline>
        </w:drawing>
      </w:r>
      <w:r w:rsidRPr="00E52EC3">
        <w:rPr>
          <w:rFonts w:ascii="仿宋_GB2312" w:eastAsia="仿宋_GB2312" w:hAnsi="仿宋_GB2312" w:cs="仿宋_GB2312"/>
          <w:bCs/>
          <w:sz w:val="30"/>
          <w:szCs w:val="30"/>
        </w:rPr>
        <w:t>云范围和上云认定准则确定，其他类型的认定参照执行。</w:t>
      </w:r>
    </w:p>
    <w:sectPr w:rsidR="00F452A9" w:rsidRPr="00E52EC3" w:rsidSect="00E37CEC">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8D7" w:rsidRDefault="00AD58D7">
      <w:pPr>
        <w:spacing w:line="240" w:lineRule="auto"/>
      </w:pPr>
      <w:r>
        <w:separator/>
      </w:r>
    </w:p>
  </w:endnote>
  <w:endnote w:type="continuationSeparator" w:id="1">
    <w:p w:rsidR="00AD58D7" w:rsidRDefault="00AD58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38655E">
    <w:pPr>
      <w:spacing w:after="160" w:line="259" w:lineRule="auto"/>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25244F" w:rsidP="00F23DB8">
    <w:pPr>
      <w:spacing w:line="259" w:lineRule="auto"/>
      <w:ind w:right="528"/>
      <w:jc w:val="center"/>
    </w:pPr>
    <w:r w:rsidRPr="0025244F">
      <w:fldChar w:fldCharType="begin"/>
    </w:r>
    <w:r w:rsidR="00E52EC3">
      <w:instrText xml:space="preserve"> PAGE   \* MERGEFORMAT </w:instrText>
    </w:r>
    <w:r w:rsidRPr="0025244F">
      <w:fldChar w:fldCharType="separate"/>
    </w:r>
    <w:r w:rsidR="00F452A9" w:rsidRPr="00F452A9">
      <w:rPr>
        <w:noProof/>
        <w:sz w:val="22"/>
      </w:rPr>
      <w:t>1</w:t>
    </w:r>
    <w:r>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25244F">
    <w:pPr>
      <w:spacing w:line="259" w:lineRule="auto"/>
      <w:ind w:right="528"/>
      <w:jc w:val="right"/>
    </w:pPr>
    <w:r w:rsidRPr="0025244F">
      <w:fldChar w:fldCharType="begin"/>
    </w:r>
    <w:r w:rsidR="00E52EC3">
      <w:instrText xml:space="preserve"> PAGE   \* MERGEFORMAT </w:instrText>
    </w:r>
    <w:r w:rsidRPr="0025244F">
      <w:fldChar w:fldCharType="separate"/>
    </w:r>
    <w:r w:rsidR="00E52EC3">
      <w:rPr>
        <w:sz w:val="22"/>
      </w:rPr>
      <w:t>1</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8D7" w:rsidRDefault="00AD58D7">
      <w:pPr>
        <w:spacing w:line="240" w:lineRule="auto"/>
      </w:pPr>
      <w:r>
        <w:separator/>
      </w:r>
    </w:p>
  </w:footnote>
  <w:footnote w:type="continuationSeparator" w:id="1">
    <w:p w:rsidR="00AD58D7" w:rsidRDefault="00AD58D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BC5"/>
    <w:rsid w:val="000106EF"/>
    <w:rsid w:val="000343AC"/>
    <w:rsid w:val="00060656"/>
    <w:rsid w:val="000633DF"/>
    <w:rsid w:val="0007300A"/>
    <w:rsid w:val="000E1E30"/>
    <w:rsid w:val="000F60D7"/>
    <w:rsid w:val="000F7C20"/>
    <w:rsid w:val="001020D4"/>
    <w:rsid w:val="00122DF3"/>
    <w:rsid w:val="00151472"/>
    <w:rsid w:val="00155299"/>
    <w:rsid w:val="001639FB"/>
    <w:rsid w:val="00180CA2"/>
    <w:rsid w:val="00181046"/>
    <w:rsid w:val="00182A58"/>
    <w:rsid w:val="0019255C"/>
    <w:rsid w:val="00195DCB"/>
    <w:rsid w:val="00196051"/>
    <w:rsid w:val="001A705D"/>
    <w:rsid w:val="001B7196"/>
    <w:rsid w:val="001C0FCF"/>
    <w:rsid w:val="001C3C37"/>
    <w:rsid w:val="001E5B97"/>
    <w:rsid w:val="001F6760"/>
    <w:rsid w:val="00201605"/>
    <w:rsid w:val="00204F4A"/>
    <w:rsid w:val="0021136D"/>
    <w:rsid w:val="00225497"/>
    <w:rsid w:val="0025244F"/>
    <w:rsid w:val="002877A6"/>
    <w:rsid w:val="00292558"/>
    <w:rsid w:val="002A0A57"/>
    <w:rsid w:val="002C1361"/>
    <w:rsid w:val="002F40A2"/>
    <w:rsid w:val="00323F92"/>
    <w:rsid w:val="003275E2"/>
    <w:rsid w:val="00330E91"/>
    <w:rsid w:val="003345BA"/>
    <w:rsid w:val="0035314F"/>
    <w:rsid w:val="00353887"/>
    <w:rsid w:val="00370A46"/>
    <w:rsid w:val="00385906"/>
    <w:rsid w:val="0038655E"/>
    <w:rsid w:val="003906C1"/>
    <w:rsid w:val="00397F91"/>
    <w:rsid w:val="003C18D5"/>
    <w:rsid w:val="003D2457"/>
    <w:rsid w:val="003D2ED9"/>
    <w:rsid w:val="003F6F15"/>
    <w:rsid w:val="00410E7F"/>
    <w:rsid w:val="00453D25"/>
    <w:rsid w:val="004734D2"/>
    <w:rsid w:val="00475897"/>
    <w:rsid w:val="00477EA6"/>
    <w:rsid w:val="00483726"/>
    <w:rsid w:val="0048404E"/>
    <w:rsid w:val="0048685B"/>
    <w:rsid w:val="004A1041"/>
    <w:rsid w:val="004A61BF"/>
    <w:rsid w:val="004C6AAE"/>
    <w:rsid w:val="004D0C62"/>
    <w:rsid w:val="00500C08"/>
    <w:rsid w:val="00525E18"/>
    <w:rsid w:val="005302D3"/>
    <w:rsid w:val="0054249E"/>
    <w:rsid w:val="00547276"/>
    <w:rsid w:val="00555E87"/>
    <w:rsid w:val="00573732"/>
    <w:rsid w:val="00574919"/>
    <w:rsid w:val="005A06A7"/>
    <w:rsid w:val="005C0C69"/>
    <w:rsid w:val="005E49F2"/>
    <w:rsid w:val="005F2606"/>
    <w:rsid w:val="00601BC0"/>
    <w:rsid w:val="00605D09"/>
    <w:rsid w:val="00632A9B"/>
    <w:rsid w:val="006560ED"/>
    <w:rsid w:val="00662B30"/>
    <w:rsid w:val="006713AE"/>
    <w:rsid w:val="00697733"/>
    <w:rsid w:val="006C4D60"/>
    <w:rsid w:val="006E03B5"/>
    <w:rsid w:val="006F6571"/>
    <w:rsid w:val="006F6B9D"/>
    <w:rsid w:val="00712912"/>
    <w:rsid w:val="00713BF0"/>
    <w:rsid w:val="00732117"/>
    <w:rsid w:val="00746901"/>
    <w:rsid w:val="00765EF6"/>
    <w:rsid w:val="0078391B"/>
    <w:rsid w:val="007B1177"/>
    <w:rsid w:val="007C3E57"/>
    <w:rsid w:val="007D7CE8"/>
    <w:rsid w:val="00801211"/>
    <w:rsid w:val="008064FA"/>
    <w:rsid w:val="00811EAF"/>
    <w:rsid w:val="00851C76"/>
    <w:rsid w:val="008578AF"/>
    <w:rsid w:val="00875463"/>
    <w:rsid w:val="0088101E"/>
    <w:rsid w:val="008929AF"/>
    <w:rsid w:val="00894DA2"/>
    <w:rsid w:val="008B4A8B"/>
    <w:rsid w:val="008C066B"/>
    <w:rsid w:val="008C1C34"/>
    <w:rsid w:val="008E4509"/>
    <w:rsid w:val="008E4AA0"/>
    <w:rsid w:val="008F4F98"/>
    <w:rsid w:val="00901A00"/>
    <w:rsid w:val="00901CA6"/>
    <w:rsid w:val="009143FF"/>
    <w:rsid w:val="00924C8A"/>
    <w:rsid w:val="009454C1"/>
    <w:rsid w:val="00971017"/>
    <w:rsid w:val="00975DAC"/>
    <w:rsid w:val="009826F1"/>
    <w:rsid w:val="0098586C"/>
    <w:rsid w:val="00995928"/>
    <w:rsid w:val="00995C58"/>
    <w:rsid w:val="009969AA"/>
    <w:rsid w:val="009C07DE"/>
    <w:rsid w:val="009D1B50"/>
    <w:rsid w:val="009D3545"/>
    <w:rsid w:val="009F088A"/>
    <w:rsid w:val="00A054E1"/>
    <w:rsid w:val="00A52B43"/>
    <w:rsid w:val="00A73EC2"/>
    <w:rsid w:val="00AD58D7"/>
    <w:rsid w:val="00AF4E7E"/>
    <w:rsid w:val="00AF61EC"/>
    <w:rsid w:val="00AF7F8A"/>
    <w:rsid w:val="00B00830"/>
    <w:rsid w:val="00B07BC5"/>
    <w:rsid w:val="00B07C5F"/>
    <w:rsid w:val="00B234AF"/>
    <w:rsid w:val="00B34F25"/>
    <w:rsid w:val="00B45146"/>
    <w:rsid w:val="00B46151"/>
    <w:rsid w:val="00B65279"/>
    <w:rsid w:val="00B86BFE"/>
    <w:rsid w:val="00B8725F"/>
    <w:rsid w:val="00B95763"/>
    <w:rsid w:val="00BB111E"/>
    <w:rsid w:val="00BC5396"/>
    <w:rsid w:val="00BD38CC"/>
    <w:rsid w:val="00BE33BF"/>
    <w:rsid w:val="00BE605D"/>
    <w:rsid w:val="00C06F30"/>
    <w:rsid w:val="00C32B15"/>
    <w:rsid w:val="00C3369A"/>
    <w:rsid w:val="00C33B1B"/>
    <w:rsid w:val="00C908FB"/>
    <w:rsid w:val="00CA696F"/>
    <w:rsid w:val="00CC7EDF"/>
    <w:rsid w:val="00CF1E28"/>
    <w:rsid w:val="00D03E2C"/>
    <w:rsid w:val="00D0498D"/>
    <w:rsid w:val="00D142A0"/>
    <w:rsid w:val="00D57BF7"/>
    <w:rsid w:val="00D62BC0"/>
    <w:rsid w:val="00DA1231"/>
    <w:rsid w:val="00DF71BD"/>
    <w:rsid w:val="00E048E4"/>
    <w:rsid w:val="00E13760"/>
    <w:rsid w:val="00E30880"/>
    <w:rsid w:val="00E30C56"/>
    <w:rsid w:val="00E31ED9"/>
    <w:rsid w:val="00E35F89"/>
    <w:rsid w:val="00E37CEC"/>
    <w:rsid w:val="00E52EC3"/>
    <w:rsid w:val="00E74903"/>
    <w:rsid w:val="00E90818"/>
    <w:rsid w:val="00EA7CFE"/>
    <w:rsid w:val="00EB1812"/>
    <w:rsid w:val="00ED26ED"/>
    <w:rsid w:val="00F00CC5"/>
    <w:rsid w:val="00F026E6"/>
    <w:rsid w:val="00F23DB8"/>
    <w:rsid w:val="00F3766F"/>
    <w:rsid w:val="00F452A9"/>
    <w:rsid w:val="00F46E33"/>
    <w:rsid w:val="00F61492"/>
    <w:rsid w:val="00F856D0"/>
    <w:rsid w:val="00F94FE1"/>
    <w:rsid w:val="00FA7740"/>
    <w:rsid w:val="00FB0886"/>
    <w:rsid w:val="00FC442B"/>
    <w:rsid w:val="00FE295A"/>
    <w:rsid w:val="00FF344B"/>
    <w:rsid w:val="02553200"/>
    <w:rsid w:val="052D3255"/>
    <w:rsid w:val="07A40C6A"/>
    <w:rsid w:val="0DD357DF"/>
    <w:rsid w:val="0DD73DA8"/>
    <w:rsid w:val="12603C34"/>
    <w:rsid w:val="15286C6B"/>
    <w:rsid w:val="1E097C22"/>
    <w:rsid w:val="230E393D"/>
    <w:rsid w:val="286F2575"/>
    <w:rsid w:val="29CB33F0"/>
    <w:rsid w:val="2BC463CB"/>
    <w:rsid w:val="414477E9"/>
    <w:rsid w:val="446E44C4"/>
    <w:rsid w:val="48C42942"/>
    <w:rsid w:val="51134929"/>
    <w:rsid w:val="5444605E"/>
    <w:rsid w:val="59FE5B8E"/>
    <w:rsid w:val="5DFE3B6C"/>
    <w:rsid w:val="5FD34693"/>
    <w:rsid w:val="62655137"/>
    <w:rsid w:val="694E225F"/>
    <w:rsid w:val="6C85090C"/>
    <w:rsid w:val="6CDB50F1"/>
    <w:rsid w:val="70B94D37"/>
    <w:rsid w:val="77A12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EC"/>
    <w:pPr>
      <w:widowControl w:val="0"/>
      <w:spacing w:line="360" w:lineRule="auto"/>
      <w:jc w:val="both"/>
    </w:pPr>
    <w:rPr>
      <w:kern w:val="2"/>
      <w:sz w:val="21"/>
      <w:szCs w:val="22"/>
    </w:rPr>
  </w:style>
  <w:style w:type="paragraph" w:styleId="1">
    <w:name w:val="heading 1"/>
    <w:next w:val="a"/>
    <w:link w:val="1Char"/>
    <w:uiPriority w:val="9"/>
    <w:unhideWhenUsed/>
    <w:qFormat/>
    <w:rsid w:val="00E37CEC"/>
    <w:pPr>
      <w:keepNext/>
      <w:keepLines/>
      <w:spacing w:line="259" w:lineRule="auto"/>
      <w:ind w:left="10" w:hanging="10"/>
      <w:jc w:val="center"/>
      <w:outlineLvl w:val="0"/>
    </w:pPr>
    <w:rPr>
      <w:rFonts w:ascii="微软雅黑" w:eastAsia="微软雅黑" w:hAnsi="微软雅黑" w:cs="微软雅黑"/>
      <w:color w:val="000000"/>
      <w:kern w:val="2"/>
      <w:sz w:val="44"/>
      <w:szCs w:val="22"/>
    </w:rPr>
  </w:style>
  <w:style w:type="paragraph" w:styleId="2">
    <w:name w:val="heading 2"/>
    <w:next w:val="a"/>
    <w:link w:val="2Char"/>
    <w:uiPriority w:val="9"/>
    <w:unhideWhenUsed/>
    <w:qFormat/>
    <w:rsid w:val="00E37CEC"/>
    <w:pPr>
      <w:keepNext/>
      <w:keepLines/>
      <w:spacing w:after="3" w:line="259" w:lineRule="auto"/>
      <w:ind w:left="20" w:hanging="10"/>
      <w:outlineLvl w:val="1"/>
    </w:pPr>
    <w:rPr>
      <w:rFonts w:ascii="微软雅黑" w:eastAsia="微软雅黑" w:hAnsi="微软雅黑" w:cs="微软雅黑"/>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37CEC"/>
    <w:pPr>
      <w:spacing w:line="240" w:lineRule="auto"/>
    </w:pPr>
    <w:rPr>
      <w:sz w:val="18"/>
      <w:szCs w:val="18"/>
    </w:rPr>
  </w:style>
  <w:style w:type="paragraph" w:styleId="a4">
    <w:name w:val="footer"/>
    <w:basedOn w:val="a"/>
    <w:link w:val="Char0"/>
    <w:uiPriority w:val="99"/>
    <w:unhideWhenUsed/>
    <w:qFormat/>
    <w:rsid w:val="00E37CEC"/>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E37CEC"/>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rsid w:val="00E37CEC"/>
    <w:pPr>
      <w:widowControl/>
      <w:spacing w:before="100" w:beforeAutospacing="1" w:after="100" w:afterAutospacing="1" w:line="240" w:lineRule="auto"/>
      <w:jc w:val="left"/>
    </w:pPr>
    <w:rPr>
      <w:rFonts w:ascii="宋体" w:eastAsia="宋体" w:hAnsi="宋体" w:cs="宋体"/>
      <w:kern w:val="0"/>
      <w:sz w:val="24"/>
      <w:szCs w:val="24"/>
    </w:rPr>
  </w:style>
  <w:style w:type="paragraph" w:styleId="a7">
    <w:name w:val="List Paragraph"/>
    <w:basedOn w:val="a"/>
    <w:uiPriority w:val="34"/>
    <w:qFormat/>
    <w:rsid w:val="00E37CEC"/>
    <w:pPr>
      <w:ind w:firstLineChars="200" w:firstLine="420"/>
    </w:pPr>
  </w:style>
  <w:style w:type="character" w:customStyle="1" w:styleId="Char1">
    <w:name w:val="页眉 Char"/>
    <w:basedOn w:val="a0"/>
    <w:link w:val="a5"/>
    <w:uiPriority w:val="99"/>
    <w:qFormat/>
    <w:rsid w:val="00E37CEC"/>
    <w:rPr>
      <w:sz w:val="18"/>
      <w:szCs w:val="18"/>
    </w:rPr>
  </w:style>
  <w:style w:type="character" w:customStyle="1" w:styleId="Char0">
    <w:name w:val="页脚 Char"/>
    <w:basedOn w:val="a0"/>
    <w:link w:val="a4"/>
    <w:uiPriority w:val="99"/>
    <w:rsid w:val="00E37CEC"/>
    <w:rPr>
      <w:sz w:val="18"/>
      <w:szCs w:val="18"/>
    </w:rPr>
  </w:style>
  <w:style w:type="paragraph" w:styleId="a8">
    <w:name w:val="No Spacing"/>
    <w:uiPriority w:val="1"/>
    <w:qFormat/>
    <w:rsid w:val="00E37CEC"/>
    <w:pPr>
      <w:widowControl w:val="0"/>
      <w:jc w:val="both"/>
    </w:pPr>
    <w:rPr>
      <w:kern w:val="2"/>
      <w:sz w:val="21"/>
      <w:szCs w:val="22"/>
    </w:rPr>
  </w:style>
  <w:style w:type="character" w:customStyle="1" w:styleId="1Char">
    <w:name w:val="标题 1 Char"/>
    <w:basedOn w:val="a0"/>
    <w:link w:val="1"/>
    <w:uiPriority w:val="9"/>
    <w:qFormat/>
    <w:rsid w:val="00E37CEC"/>
    <w:rPr>
      <w:rFonts w:ascii="微软雅黑" w:eastAsia="微软雅黑" w:hAnsi="微软雅黑" w:cs="微软雅黑"/>
      <w:color w:val="000000"/>
      <w:sz w:val="44"/>
    </w:rPr>
  </w:style>
  <w:style w:type="character" w:customStyle="1" w:styleId="2Char">
    <w:name w:val="标题 2 Char"/>
    <w:basedOn w:val="a0"/>
    <w:link w:val="2"/>
    <w:uiPriority w:val="9"/>
    <w:rsid w:val="00E37CEC"/>
    <w:rPr>
      <w:rFonts w:ascii="微软雅黑" w:eastAsia="微软雅黑" w:hAnsi="微软雅黑" w:cs="微软雅黑"/>
      <w:color w:val="000000"/>
      <w:sz w:val="32"/>
    </w:rPr>
  </w:style>
  <w:style w:type="table" w:customStyle="1" w:styleId="TableGrid">
    <w:name w:val="TableGrid"/>
    <w:qFormat/>
    <w:rsid w:val="00E37CEC"/>
    <w:tblPr>
      <w:tblCellMar>
        <w:top w:w="0" w:type="dxa"/>
        <w:left w:w="0" w:type="dxa"/>
        <w:bottom w:w="0" w:type="dxa"/>
        <w:right w:w="0" w:type="dxa"/>
      </w:tblCellMar>
    </w:tblPr>
  </w:style>
  <w:style w:type="character" w:customStyle="1" w:styleId="Char">
    <w:name w:val="批注框文本 Char"/>
    <w:basedOn w:val="a0"/>
    <w:link w:val="a3"/>
    <w:uiPriority w:val="99"/>
    <w:semiHidden/>
    <w:rsid w:val="00E37CE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72252-3921-4839-B735-74E1E4BE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245</Words>
  <Characters>1397</Characters>
  <Application>Microsoft Office Word</Application>
  <DocSecurity>0</DocSecurity>
  <Lines>11</Lines>
  <Paragraphs>3</Paragraphs>
  <ScaleCrop>false</ScaleCrop>
  <Company>dell</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Administrator</cp:lastModifiedBy>
  <cp:revision>9</cp:revision>
  <cp:lastPrinted>2018-06-27T06:47:00Z</cp:lastPrinted>
  <dcterms:created xsi:type="dcterms:W3CDTF">2018-07-02T00:55:00Z</dcterms:created>
  <dcterms:modified xsi:type="dcterms:W3CDTF">2018-07-10T09:30:00Z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