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  <w:t>政府信息公开工作年度报告</w:t>
      </w:r>
    </w:p>
    <w:p>
      <w:pPr>
        <w:jc w:val="center"/>
        <w:rPr>
          <w:rFonts w:hint="eastAsia" w:ascii="楷体_GB2312" w:hAnsi="Times New Roman" w:eastAsia="楷体_GB2312"/>
          <w:snapToGrid w:val="0"/>
          <w:kern w:val="0"/>
          <w:sz w:val="24"/>
        </w:rPr>
      </w:pPr>
      <w:r>
        <w:rPr>
          <w:rFonts w:hint="eastAsia" w:ascii="楷体_GB2312" w:hAnsi="Times New Roman" w:eastAsia="楷体_GB2312"/>
          <w:snapToGrid w:val="0"/>
          <w:kern w:val="0"/>
          <w:sz w:val="24"/>
          <w:lang w:eastAsia="zh-CN"/>
        </w:rPr>
        <w:t>鄞州区人民政府东郊街道办事处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一、总体情况</w:t>
      </w:r>
    </w:p>
    <w:p>
      <w:pPr>
        <w:widowControl/>
        <w:spacing w:line="560" w:lineRule="exact"/>
        <w:ind w:firstLine="624" w:firstLineChars="20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东郊街道办事处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政府信息公开工作在国务院、省、市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政府的指导下，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打造阳光政府、透明政府为目标，在政务公开上始终坚持“以公开为常态、不公开为例外”，充分发挥“互联网+政务服务”平台作用，不断强化政策解读、回应社会关切，切实维护政府公信力、保障群众知情权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。</w:t>
      </w:r>
    </w:p>
    <w:p>
      <w:pPr>
        <w:ind w:firstLine="624" w:firstLineChars="200"/>
        <w:jc w:val="left"/>
        <w:rPr>
          <w:rFonts w:hint="eastAsia"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东郊街道办事处高度重视政府信息公开工作，进一步完善政府信息公开领导小组的工作责任制、强化信息公开及安全制度建设，切实抓好组织领导、明确工作机构和人员配备的三方面落实。通过街道网站、LED显示屏、党务公开栏等多种形式公开政府信息，努力确保政务信息公开的普遍性、时效性及安全性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二、主动公开政府信息情况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083"/>
        <w:gridCol w:w="12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960" w:firstLineChars="4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180万元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15"/>
        <w:gridCol w:w="1683"/>
        <w:gridCol w:w="698"/>
        <w:gridCol w:w="675"/>
        <w:gridCol w:w="405"/>
        <w:gridCol w:w="447"/>
        <w:gridCol w:w="497"/>
        <w:gridCol w:w="55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91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258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6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6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210"/>
              </w:tabs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计其他情形）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四、政府信息公开行政复议、行政诉讼情况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9"/>
        <w:gridCol w:w="464"/>
        <w:gridCol w:w="552"/>
        <w:gridCol w:w="589"/>
        <w:gridCol w:w="660"/>
        <w:gridCol w:w="360"/>
        <w:gridCol w:w="538"/>
        <w:gridCol w:w="422"/>
        <w:gridCol w:w="651"/>
        <w:gridCol w:w="604"/>
        <w:gridCol w:w="591"/>
        <w:gridCol w:w="516"/>
        <w:gridCol w:w="56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61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3840" w:firstLineChars="16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6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46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8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br w:type="page"/>
      </w: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五、存在的主要问题及改进情况</w:t>
      </w:r>
    </w:p>
    <w:p>
      <w:pPr>
        <w:adjustRightInd w:val="0"/>
        <w:snapToGrid w:val="0"/>
        <w:spacing w:line="560" w:lineRule="atLeast"/>
        <w:ind w:firstLine="630"/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回顾过去一年，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政府信息公开工作虽然取得了一些成绩，但对照国务院和省、市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、区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政府的要求，对照人民群众的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期望，仍存在差距，主要表现为：一是部分主动公开的信息内容还不够完善，部分信息的公开还不够及时；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是信息公开形式还需要进一步丰富，信息公开程度还需要进一步拓展。</w:t>
      </w:r>
    </w:p>
    <w:p>
      <w:pPr>
        <w:spacing w:line="560" w:lineRule="exact"/>
        <w:ind w:firstLine="624" w:firstLineChars="200"/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年，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将认真贯彻党的有关精神，继续将政务公开作为加快建设法治政府的重要抓手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进一步规范完善政务公开的形式、内容、时限、程序、监督和运行机制，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高度重视政府信息公开保密审查工作，真正落实“谁公开、谁审查、谁负责”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“先审查、后公开”、“一事一审”规定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杜绝网络失窃泄密事件发生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六、其他需要报告的事项</w:t>
      </w:r>
    </w:p>
    <w:p>
      <w:pPr>
        <w:rPr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   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ZmFmZWMxMzQwN2FmODQ2ZDBiNWIwMDY3YjE5OWIifQ=="/>
  </w:docVars>
  <w:rsids>
    <w:rsidRoot w:val="00EE7F31"/>
    <w:rsid w:val="003A4867"/>
    <w:rsid w:val="0058206A"/>
    <w:rsid w:val="00702912"/>
    <w:rsid w:val="00E005E7"/>
    <w:rsid w:val="00EE7F31"/>
    <w:rsid w:val="00FE36EC"/>
    <w:rsid w:val="013F7A9A"/>
    <w:rsid w:val="051C0CEF"/>
    <w:rsid w:val="07287ACA"/>
    <w:rsid w:val="09205A07"/>
    <w:rsid w:val="0C59614E"/>
    <w:rsid w:val="0D670889"/>
    <w:rsid w:val="0E66622E"/>
    <w:rsid w:val="0F1F7BDB"/>
    <w:rsid w:val="0FD77389"/>
    <w:rsid w:val="119F4776"/>
    <w:rsid w:val="162B22EC"/>
    <w:rsid w:val="16F93C3E"/>
    <w:rsid w:val="1B196C01"/>
    <w:rsid w:val="1BBE5191"/>
    <w:rsid w:val="1E443C36"/>
    <w:rsid w:val="1F135208"/>
    <w:rsid w:val="21D73144"/>
    <w:rsid w:val="2CB35BE4"/>
    <w:rsid w:val="2D817536"/>
    <w:rsid w:val="2E3A0EE3"/>
    <w:rsid w:val="32314367"/>
    <w:rsid w:val="33CD760B"/>
    <w:rsid w:val="36200D59"/>
    <w:rsid w:val="3A0B4B47"/>
    <w:rsid w:val="3B8F5CBF"/>
    <w:rsid w:val="3BF734F0"/>
    <w:rsid w:val="3D7D1F70"/>
    <w:rsid w:val="3E2E6510"/>
    <w:rsid w:val="3F446058"/>
    <w:rsid w:val="3F7520AA"/>
    <w:rsid w:val="3FE12755"/>
    <w:rsid w:val="42161379"/>
    <w:rsid w:val="43D76DDC"/>
    <w:rsid w:val="47D7186A"/>
    <w:rsid w:val="4BD642F8"/>
    <w:rsid w:val="4C1B6FEB"/>
    <w:rsid w:val="4EAB4AAB"/>
    <w:rsid w:val="4FBA075B"/>
    <w:rsid w:val="529A2D92"/>
    <w:rsid w:val="536D1B68"/>
    <w:rsid w:val="53F91A55"/>
    <w:rsid w:val="552E543A"/>
    <w:rsid w:val="559C5392"/>
    <w:rsid w:val="55DE6C45"/>
    <w:rsid w:val="5A016AB7"/>
    <w:rsid w:val="5A6048D2"/>
    <w:rsid w:val="5C1761A2"/>
    <w:rsid w:val="648E5907"/>
    <w:rsid w:val="64A0461E"/>
    <w:rsid w:val="66A63D78"/>
    <w:rsid w:val="67A55E99"/>
    <w:rsid w:val="6AB841A2"/>
    <w:rsid w:val="6DA35E6F"/>
    <w:rsid w:val="724B2010"/>
    <w:rsid w:val="726751D5"/>
    <w:rsid w:val="74DF584C"/>
    <w:rsid w:val="77B41AF2"/>
    <w:rsid w:val="7AAB3D4E"/>
    <w:rsid w:val="7B0E5FF1"/>
    <w:rsid w:val="7DF6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page number"/>
    <w:basedOn w:val="5"/>
    <w:unhideWhenUsed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1471</Words>
  <Characters>1498</Characters>
  <Lines>26</Lines>
  <Paragraphs>7</Paragraphs>
  <TotalTime>0</TotalTime>
  <ScaleCrop>false</ScaleCrop>
  <LinksUpToDate>false</LinksUpToDate>
  <CharactersWithSpaces>1618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2020-01-06T03:22:00Z</dcterms:created>
  <dc:creator>冯青青</dc:creator>
  <cp:lastModifiedBy>加加</cp:lastModifiedBy>
  <cp:lastPrinted>2020-01-14T00:57:00Z</cp:lastPrinted>
  <dcterms:modified xsi:type="dcterms:W3CDTF">2022-12-06T08:32:19Z</dcterms:modified>
  <dc:title>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C35AC2C888634AF4A09FDFCAEFDBFAD7</vt:lpwstr>
  </property>
</Properties>
</file>