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pacing w:line="554" w:lineRule="exact"/>
        <w:jc w:val="both"/>
        <w:textAlignment w:val="auto"/>
        <w:outlineLvl w:val="9"/>
        <w:rPr>
          <w:rFonts w:hint="default" w:ascii="黑体" w:hAnsi="黑体" w:eastAsia="黑体" w:cs="黑体"/>
          <w:color w:val="000000"/>
          <w:sz w:val="32"/>
          <w:szCs w:val="32"/>
          <w:lang w:val="en-US" w:eastAsia="zh-CN"/>
        </w:rPr>
      </w:pPr>
      <w:bookmarkStart w:id="0" w:name="_GoBack"/>
      <w:r>
        <w:rPr>
          <w:rFonts w:hint="eastAsia" w:ascii="黑体" w:hAnsi="黑体" w:eastAsia="黑体" w:cs="黑体"/>
          <w:color w:val="000000"/>
          <w:sz w:val="32"/>
          <w:szCs w:val="32"/>
          <w:lang w:val="en-US" w:eastAsia="zh-CN"/>
        </w:rPr>
        <w:t>附件2</w:t>
      </w:r>
    </w:p>
    <w:bookmarkEnd w:id="0"/>
    <w:p>
      <w:pPr>
        <w:keepNext w:val="0"/>
        <w:keepLines w:val="0"/>
        <w:pageBreakBefore w:val="0"/>
        <w:widowControl w:val="0"/>
        <w:numPr>
          <w:ilvl w:val="0"/>
          <w:numId w:val="0"/>
        </w:numPr>
        <w:kinsoku/>
        <w:wordWrap/>
        <w:overflowPunct/>
        <w:topLinePunct w:val="0"/>
        <w:autoSpaceDE/>
        <w:autoSpaceDN/>
        <w:bidi w:val="0"/>
        <w:adjustRightInd w:val="0"/>
        <w:spacing w:line="560" w:lineRule="exact"/>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鄞州区家院互融服务项目清单</w:t>
      </w:r>
    </w:p>
    <w:tbl>
      <w:tblPr>
        <w:tblStyle w:val="2"/>
        <w:tblpPr w:leftFromText="180" w:rightFromText="180" w:vertAnchor="text" w:horzAnchor="page" w:tblpXSpec="center" w:tblpY="624"/>
        <w:tblOverlap w:val="never"/>
        <w:tblW w:w="5000" w:type="pct"/>
        <w:jc w:val="center"/>
        <w:shd w:val="clear" w:color="auto" w:fill="FFFFFF"/>
        <w:tblLayout w:type="autofit"/>
        <w:tblCellMar>
          <w:top w:w="0" w:type="dxa"/>
          <w:left w:w="0" w:type="dxa"/>
          <w:bottom w:w="0" w:type="dxa"/>
          <w:right w:w="0" w:type="dxa"/>
        </w:tblCellMar>
      </w:tblPr>
      <w:tblGrid>
        <w:gridCol w:w="720"/>
        <w:gridCol w:w="495"/>
        <w:gridCol w:w="1425"/>
        <w:gridCol w:w="4164"/>
        <w:gridCol w:w="2257"/>
      </w:tblGrid>
      <w:tr>
        <w:tblPrEx>
          <w:tblCellMar>
            <w:top w:w="0" w:type="dxa"/>
            <w:left w:w="0" w:type="dxa"/>
            <w:bottom w:w="0" w:type="dxa"/>
            <w:right w:w="0" w:type="dxa"/>
          </w:tblCellMar>
        </w:tblPrEx>
        <w:trPr>
          <w:trHeight w:val="662" w:hRule="atLeast"/>
          <w:jc w:val="center"/>
        </w:trPr>
        <w:tc>
          <w:tcPr>
            <w:tcW w:w="3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仿宋_GB2312" w:eastAsia="仿宋_GB2312" w:cs="仿宋_GB2312"/>
                <w:b/>
                <w:bCs/>
                <w:kern w:val="0"/>
                <w:sz w:val="22"/>
                <w:szCs w:val="22"/>
                <w:lang w:eastAsia="zh-CN"/>
              </w:rPr>
            </w:pPr>
            <w:r>
              <w:rPr>
                <w:rFonts w:hint="eastAsia" w:ascii="仿宋_GB2312" w:hAnsi="仿宋_GB2312" w:eastAsia="仿宋_GB2312" w:cs="仿宋_GB2312"/>
                <w:b/>
                <w:bCs/>
                <w:kern w:val="0"/>
                <w:sz w:val="22"/>
                <w:szCs w:val="22"/>
                <w:lang w:eastAsia="zh-CN"/>
              </w:rPr>
              <w:t>类别</w:t>
            </w: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项目名称</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项目内容</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rPr>
                <w:rFonts w:hint="eastAsia" w:ascii="仿宋_GB2312" w:hAnsi="仿宋_GB2312" w:eastAsia="仿宋_GB2312" w:cs="仿宋_GB2312"/>
                <w:b/>
                <w:bCs/>
                <w:kern w:val="0"/>
                <w:sz w:val="22"/>
                <w:szCs w:val="22"/>
                <w:lang w:eastAsia="zh-CN"/>
              </w:rPr>
            </w:pPr>
            <w:r>
              <w:rPr>
                <w:rFonts w:hint="eastAsia" w:ascii="仿宋_GB2312" w:hAnsi="仿宋_GB2312" w:eastAsia="仿宋_GB2312" w:cs="仿宋_GB2312"/>
                <w:b/>
                <w:bCs/>
                <w:kern w:val="0"/>
                <w:sz w:val="22"/>
                <w:szCs w:val="22"/>
                <w:lang w:eastAsia="zh-CN"/>
              </w:rPr>
              <w:t>参考价格</w:t>
            </w:r>
          </w:p>
        </w:tc>
      </w:tr>
      <w:tr>
        <w:tblPrEx>
          <w:tblCellMar>
            <w:top w:w="0" w:type="dxa"/>
            <w:left w:w="0" w:type="dxa"/>
            <w:bottom w:w="0" w:type="dxa"/>
            <w:right w:w="0" w:type="dxa"/>
          </w:tblCellMar>
        </w:tblPrEx>
        <w:trPr>
          <w:jc w:val="center"/>
        </w:trPr>
        <w:tc>
          <w:tcPr>
            <w:tcW w:w="397" w:type="pct"/>
            <w:vMerge w:val="restart"/>
            <w:tcBorders>
              <w:top w:val="single" w:color="auto" w:sz="8" w:space="0"/>
              <w:left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r>
              <w:rPr>
                <w:rFonts w:hint="eastAsia" w:ascii="仿宋_GB2312" w:hAnsi="仿宋_GB2312" w:eastAsia="仿宋_GB2312" w:cs="仿宋_GB2312"/>
                <w:b/>
                <w:bCs/>
                <w:kern w:val="0"/>
                <w:sz w:val="22"/>
                <w:szCs w:val="22"/>
              </w:rPr>
              <w:t>生</w:t>
            </w:r>
          </w:p>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r>
              <w:rPr>
                <w:rFonts w:hint="eastAsia" w:ascii="仿宋_GB2312" w:hAnsi="仿宋_GB2312" w:cs="仿宋_GB2312"/>
                <w:b/>
                <w:bCs/>
                <w:kern w:val="0"/>
                <w:sz w:val="22"/>
                <w:szCs w:val="22"/>
                <w:lang w:eastAsia="zh-CN"/>
              </w:rPr>
              <w:t>活</w:t>
            </w:r>
          </w:p>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r>
              <w:rPr>
                <w:rFonts w:hint="eastAsia" w:ascii="仿宋_GB2312" w:hAnsi="仿宋_GB2312" w:cs="仿宋_GB2312"/>
                <w:b/>
                <w:bCs/>
                <w:kern w:val="0"/>
                <w:sz w:val="22"/>
                <w:szCs w:val="22"/>
                <w:lang w:eastAsia="zh-CN"/>
              </w:rPr>
              <w:t>照</w:t>
            </w:r>
          </w:p>
          <w:p>
            <w:pPr>
              <w:widowControl/>
              <w:spacing w:before="100" w:beforeAutospacing="1" w:after="100" w:afterAutospacing="1"/>
              <w:ind w:left="113" w:right="113"/>
              <w:jc w:val="center"/>
              <w:rPr>
                <w:rFonts w:hint="eastAsia" w:ascii="仿宋_GB2312" w:hAnsi="仿宋_GB2312" w:eastAsia="仿宋_GB2312" w:cs="仿宋_GB2312"/>
                <w:kern w:val="0"/>
                <w:sz w:val="22"/>
                <w:szCs w:val="22"/>
              </w:rPr>
            </w:pPr>
            <w:r>
              <w:rPr>
                <w:rFonts w:hint="eastAsia" w:ascii="仿宋_GB2312" w:hAnsi="仿宋_GB2312" w:cs="仿宋_GB2312"/>
                <w:b/>
                <w:bCs/>
                <w:kern w:val="0"/>
                <w:sz w:val="22"/>
                <w:szCs w:val="22"/>
                <w:lang w:eastAsia="zh-CN"/>
              </w:rPr>
              <w:t>料</w:t>
            </w: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1</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起居照料</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清洁面部、口腔、手部、梳头、穿衣和如厕</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509"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2</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洗   发</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协助老年人选择舒适体位并清洗并吹干头发</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78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3</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理</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发</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头发的清洗、修剪等，不包含焗油、染发等</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按实际服务时间结算，上门最长不超过</w:t>
            </w:r>
            <w:r>
              <w:rPr>
                <w:rFonts w:hint="eastAsia" w:ascii="仿宋_GB2312" w:hAnsi="仿宋_GB2312" w:cs="仿宋_GB2312"/>
                <w:color w:val="000000"/>
                <w:kern w:val="0"/>
                <w:sz w:val="21"/>
                <w:szCs w:val="21"/>
                <w:lang w:val="en-US" w:eastAsia="zh-CN"/>
              </w:rPr>
              <w:t>0.5小时，集中不超过0.25小时</w:t>
            </w:r>
          </w:p>
        </w:tc>
      </w:tr>
      <w:tr>
        <w:tblPrEx>
          <w:shd w:val="clear" w:color="auto" w:fill="FFFFFF"/>
          <w:tblCellMar>
            <w:top w:w="0" w:type="dxa"/>
            <w:left w:w="0" w:type="dxa"/>
            <w:bottom w:w="0" w:type="dxa"/>
            <w:right w:w="0" w:type="dxa"/>
          </w:tblCellMar>
        </w:tblPrEx>
        <w:trPr>
          <w:trHeight w:val="45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4</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指/趾甲护理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选择合适的工具对指/趾甲适时进行修剪。</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50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5</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洗</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脚</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选择适宜的方法和体位为老年人清洗足部。</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shd w:val="clear" w:color="auto" w:fill="FFFFFF"/>
          <w:tblCellMar>
            <w:top w:w="0" w:type="dxa"/>
            <w:left w:w="0" w:type="dxa"/>
            <w:bottom w:w="0" w:type="dxa"/>
            <w:right w:w="0" w:type="dxa"/>
          </w:tblCellMar>
        </w:tblPrEx>
        <w:trPr>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6</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助</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浴</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协助老年人选择擦浴、淋浴、盆浴、坐浴等适宜的沐浴方式，并更换衣物。</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2小时</w:t>
            </w:r>
          </w:p>
        </w:tc>
      </w:tr>
      <w:tr>
        <w:tblPrEx>
          <w:tblCellMar>
            <w:top w:w="0" w:type="dxa"/>
            <w:left w:w="0" w:type="dxa"/>
            <w:bottom w:w="0" w:type="dxa"/>
            <w:right w:w="0" w:type="dxa"/>
          </w:tblCellMar>
        </w:tblPrEx>
        <w:trPr>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7</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喂</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食</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帮助进食</w:t>
            </w:r>
            <w:r>
              <w:rPr>
                <w:rFonts w:hint="eastAsia" w:ascii="仿宋_GB2312" w:hAnsi="仿宋_GB2312" w:cs="仿宋_GB2312"/>
                <w:color w:val="000000"/>
                <w:kern w:val="0"/>
                <w:sz w:val="21"/>
                <w:szCs w:val="21"/>
                <w:lang w:val="en-US" w:eastAsia="zh-CN"/>
              </w:rPr>
              <w:t>/水</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57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8</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送</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餐</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将餐饮送到指定地点（餐费另算）</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0.25小时</w:t>
            </w:r>
          </w:p>
        </w:tc>
      </w:tr>
      <w:tr>
        <w:tblPrEx>
          <w:tblCellMar>
            <w:top w:w="0" w:type="dxa"/>
            <w:left w:w="0" w:type="dxa"/>
            <w:bottom w:w="0" w:type="dxa"/>
            <w:right w:w="0" w:type="dxa"/>
          </w:tblCellMar>
        </w:tblPrEx>
        <w:trPr>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9</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制作老年餐</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为老年人制作日常餐食</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62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10</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衣物清洁</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衣服、被褥等衣物的清洗</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62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1</w:t>
            </w:r>
            <w:r>
              <w:rPr>
                <w:rFonts w:hint="eastAsia" w:ascii="仿宋_GB2312" w:hAnsi="仿宋_GB2312" w:cs="仿宋_GB2312"/>
                <w:color w:val="000000"/>
                <w:kern w:val="0"/>
                <w:sz w:val="21"/>
                <w:szCs w:val="21"/>
                <w:lang w:val="en-US" w:eastAsia="zh-CN"/>
              </w:rPr>
              <w:t>1</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室内清洁</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包括地面、桌椅、餐具、床、窗户、窗帘和衣物等的整理和清洗。</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62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cs="仿宋_GB2312"/>
                <w:color w:val="000000"/>
                <w:kern w:val="0"/>
                <w:sz w:val="21"/>
                <w:szCs w:val="21"/>
                <w:lang w:val="en-US" w:eastAsia="zh-CN"/>
              </w:rPr>
              <w:t>12</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失禁清理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为大小便失禁的老年人提供皮肤的清洁服务</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517"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cs="仿宋_GB2312"/>
                <w:color w:val="000000"/>
                <w:kern w:val="0"/>
                <w:sz w:val="21"/>
                <w:szCs w:val="21"/>
                <w:lang w:eastAsia="zh-CN"/>
              </w:rPr>
              <w:t>1</w:t>
            </w:r>
            <w:r>
              <w:rPr>
                <w:rFonts w:hint="eastAsia" w:ascii="仿宋_GB2312" w:hAnsi="仿宋_GB2312" w:cs="仿宋_GB2312"/>
                <w:color w:val="000000"/>
                <w:kern w:val="0"/>
                <w:sz w:val="21"/>
                <w:szCs w:val="21"/>
                <w:lang w:val="en-US" w:eastAsia="zh-CN"/>
              </w:rPr>
              <w:t>3</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助</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行</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陪同老年人在住宅附近周边区域户外散步或陪同老年人就近购物、探访等</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cs="仿宋_GB2312"/>
                <w:color w:val="000000"/>
                <w:kern w:val="0"/>
                <w:sz w:val="21"/>
                <w:szCs w:val="21"/>
                <w:lang w:val="en-US" w:eastAsia="zh-CN"/>
              </w:rPr>
              <w:t>14</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日间托养</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养老服务机构提供日间照护，包括助餐、助洁、生活照料、康复锻炼和文体娱乐活动等服务（含午餐）</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2小时</w:t>
            </w:r>
          </w:p>
        </w:tc>
      </w:tr>
      <w:tr>
        <w:tblPrEx>
          <w:tblCellMar>
            <w:top w:w="0" w:type="dxa"/>
            <w:left w:w="0" w:type="dxa"/>
            <w:bottom w:w="0" w:type="dxa"/>
            <w:right w:w="0" w:type="dxa"/>
          </w:tblCellMar>
        </w:tblPrEx>
        <w:trPr>
          <w:trHeight w:val="517"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15</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代缴代购</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根据老年人需要，协助其缴纳各种生活费用、购买生活日用品</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65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16</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维修服务</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对水电、管道、家电等提供维修服务。零部件购买费用由老人另外支付。</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427"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17</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陪</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医</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协助家属陪同老年人看病就医</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427" w:hRule="atLeast"/>
          <w:jc w:val="center"/>
        </w:trPr>
        <w:tc>
          <w:tcPr>
            <w:tcW w:w="397" w:type="pct"/>
            <w:vMerge w:val="continue"/>
            <w:tcBorders>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18</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其</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他</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p>
        </w:tc>
      </w:tr>
      <w:tr>
        <w:tblPrEx>
          <w:tblCellMar>
            <w:top w:w="0" w:type="dxa"/>
            <w:left w:w="0" w:type="dxa"/>
            <w:bottom w:w="0" w:type="dxa"/>
            <w:right w:w="0" w:type="dxa"/>
          </w:tblCellMar>
        </w:tblPrEx>
        <w:trPr>
          <w:trHeight w:val="482" w:hRule="atLeast"/>
          <w:jc w:val="center"/>
        </w:trPr>
        <w:tc>
          <w:tcPr>
            <w:tcW w:w="397" w:type="pct"/>
            <w:vMerge w:val="restart"/>
            <w:tcBorders>
              <w:top w:val="single" w:color="auto" w:sz="8" w:space="0"/>
              <w:left w:val="single" w:color="auto" w:sz="8" w:space="0"/>
              <w:right w:val="single" w:color="auto" w:sz="8" w:space="0"/>
            </w:tcBorders>
            <w:shd w:val="clear" w:color="auto" w:fill="FFFFFF"/>
            <w:noWrap w:val="0"/>
            <w:vAlign w:val="center"/>
          </w:tcPr>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p>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r>
              <w:rPr>
                <w:rFonts w:hint="eastAsia" w:ascii="仿宋_GB2312" w:hAnsi="仿宋_GB2312" w:cs="仿宋_GB2312"/>
                <w:b/>
                <w:bCs/>
                <w:kern w:val="0"/>
                <w:sz w:val="22"/>
                <w:szCs w:val="22"/>
                <w:lang w:eastAsia="zh-CN"/>
              </w:rPr>
              <w:t>健</w:t>
            </w:r>
          </w:p>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r>
              <w:rPr>
                <w:rFonts w:hint="eastAsia" w:ascii="仿宋_GB2312" w:hAnsi="仿宋_GB2312" w:cs="仿宋_GB2312"/>
                <w:b/>
                <w:bCs/>
                <w:kern w:val="0"/>
                <w:sz w:val="22"/>
                <w:szCs w:val="22"/>
                <w:lang w:eastAsia="zh-CN"/>
              </w:rPr>
              <w:t>康</w:t>
            </w:r>
          </w:p>
          <w:p>
            <w:pPr>
              <w:widowControl/>
              <w:spacing w:before="100" w:beforeAutospacing="1" w:after="100" w:afterAutospacing="1"/>
              <w:ind w:left="113" w:right="113"/>
              <w:jc w:val="center"/>
              <w:rPr>
                <w:rFonts w:hint="eastAsia" w:ascii="仿宋_GB2312" w:hAnsi="仿宋_GB2312" w:cs="仿宋_GB2312"/>
                <w:b/>
                <w:bCs/>
                <w:kern w:val="0"/>
                <w:sz w:val="22"/>
                <w:szCs w:val="22"/>
                <w:lang w:eastAsia="zh-CN"/>
              </w:rPr>
            </w:pPr>
            <w:r>
              <w:rPr>
                <w:rFonts w:hint="eastAsia" w:ascii="仿宋_GB2312" w:hAnsi="仿宋_GB2312" w:cs="仿宋_GB2312"/>
                <w:b/>
                <w:bCs/>
                <w:kern w:val="0"/>
                <w:sz w:val="22"/>
                <w:szCs w:val="22"/>
                <w:lang w:eastAsia="zh-CN"/>
              </w:rPr>
              <w:t>护</w:t>
            </w:r>
          </w:p>
          <w:p>
            <w:pPr>
              <w:widowControl/>
              <w:spacing w:before="100" w:beforeAutospacing="1" w:after="100" w:afterAutospacing="1"/>
              <w:ind w:left="113" w:right="113"/>
              <w:jc w:val="center"/>
              <w:rPr>
                <w:rFonts w:hint="eastAsia" w:ascii="仿宋_GB2312" w:hAnsi="仿宋_GB2312" w:eastAsia="仿宋_GB2312" w:cs="仿宋_GB2312"/>
                <w:kern w:val="0"/>
                <w:sz w:val="22"/>
                <w:szCs w:val="22"/>
                <w:lang w:eastAsia="zh-CN"/>
              </w:rPr>
            </w:pPr>
            <w:r>
              <w:rPr>
                <w:rFonts w:hint="eastAsia" w:ascii="仿宋_GB2312" w:hAnsi="仿宋_GB2312" w:cs="仿宋_GB2312"/>
                <w:b/>
                <w:bCs/>
                <w:kern w:val="0"/>
                <w:sz w:val="22"/>
                <w:szCs w:val="22"/>
                <w:lang w:eastAsia="zh-CN"/>
              </w:rPr>
              <w:t>理</w:t>
            </w: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1</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生活自理　能力训练</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帮助肢体活动障碍的老年人日常生活自理能力训练</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90"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2</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压疮预防护理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定时翻身、气垫减压等方法，预防压疮的发生，提供心理支持及压疮护理的健康指导</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90"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3</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鼻饲管护理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留置鼻饲管更换、清理、消毒</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90"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4</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导尿管护理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留置导尿管更换、清理、消毒</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90"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5</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人工肛门　便袋护理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留置的人工肛门便袋更换、清理、消毒</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90"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6</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人工取便</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取直肠内的粪便</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0.5小时</w:t>
            </w:r>
          </w:p>
        </w:tc>
      </w:tr>
      <w:tr>
        <w:tblPrEx>
          <w:tblCellMar>
            <w:top w:w="0" w:type="dxa"/>
            <w:left w:w="0" w:type="dxa"/>
            <w:bottom w:w="0" w:type="dxa"/>
            <w:right w:w="0" w:type="dxa"/>
          </w:tblCellMar>
        </w:tblPrEx>
        <w:trPr>
          <w:trHeight w:val="90"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7</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失智症老人的非药物干预和指导</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采用沟通交流和音乐治疗、艺术治疗以及游戏活动等作业治疗的方法对失智症老人进行非药物干预和指导</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45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8</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紧急援助服务</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帮助老年人紧急联络家属或送医救治</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452" w:hRule="atLeast"/>
          <w:jc w:val="center"/>
        </w:trPr>
        <w:tc>
          <w:tcPr>
            <w:tcW w:w="397" w:type="pct"/>
            <w:vMerge w:val="continue"/>
            <w:tcBorders>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9</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其</w:t>
            </w:r>
            <w:r>
              <w:rPr>
                <w:rFonts w:hint="eastAsia" w:ascii="仿宋_GB2312" w:hAnsi="仿宋_GB2312" w:cs="仿宋_GB2312"/>
                <w:color w:val="000000"/>
                <w:kern w:val="0"/>
                <w:sz w:val="21"/>
                <w:szCs w:val="21"/>
                <w:lang w:val="en-US" w:eastAsia="zh-CN"/>
              </w:rPr>
              <w:t xml:space="preserve">  </w:t>
            </w:r>
            <w:r>
              <w:rPr>
                <w:rFonts w:hint="eastAsia" w:ascii="仿宋_GB2312" w:hAnsi="仿宋_GB2312" w:cs="仿宋_GB2312"/>
                <w:color w:val="000000"/>
                <w:kern w:val="0"/>
                <w:sz w:val="21"/>
                <w:szCs w:val="21"/>
                <w:lang w:eastAsia="zh-CN"/>
              </w:rPr>
              <w:t>他</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p>
        </w:tc>
      </w:tr>
      <w:tr>
        <w:tblPrEx>
          <w:tblCellMar>
            <w:top w:w="0" w:type="dxa"/>
            <w:left w:w="0" w:type="dxa"/>
            <w:bottom w:w="0" w:type="dxa"/>
            <w:right w:w="0" w:type="dxa"/>
          </w:tblCellMar>
        </w:tblPrEx>
        <w:trPr>
          <w:trHeight w:val="0" w:hRule="atLeast"/>
          <w:jc w:val="center"/>
        </w:trPr>
        <w:tc>
          <w:tcPr>
            <w:tcW w:w="397" w:type="pct"/>
            <w:vMerge w:val="restart"/>
            <w:tcBorders>
              <w:top w:val="single" w:color="auto" w:sz="8" w:space="0"/>
              <w:left w:val="single" w:color="auto" w:sz="8" w:space="0"/>
              <w:right w:val="single" w:color="auto" w:sz="8" w:space="0"/>
            </w:tcBorders>
            <w:shd w:val="clear" w:color="auto" w:fill="FFFFFF"/>
            <w:noWrap w:val="0"/>
            <w:tcMar>
              <w:top w:w="0" w:type="dxa"/>
              <w:left w:w="108" w:type="dxa"/>
              <w:bottom w:w="0" w:type="dxa"/>
              <w:right w:w="108" w:type="dxa"/>
            </w:tcMar>
            <w:textDirection w:val="tbRlV"/>
            <w:vAlign w:val="center"/>
          </w:tcPr>
          <w:p>
            <w:pPr>
              <w:widowControl/>
              <w:spacing w:before="100" w:beforeAutospacing="1" w:after="100" w:afterAutospacing="1"/>
              <w:ind w:left="113" w:right="113"/>
              <w:jc w:val="center"/>
              <w:rPr>
                <w:rFonts w:hint="eastAsia" w:ascii="仿宋_GB2312" w:hAnsi="仿宋_GB2312" w:eastAsia="仿宋_GB2312" w:cs="仿宋_GB2312"/>
                <w:kern w:val="0"/>
                <w:sz w:val="22"/>
                <w:szCs w:val="22"/>
                <w:lang w:eastAsia="zh-CN"/>
              </w:rPr>
            </w:pPr>
            <w:r>
              <w:rPr>
                <w:rFonts w:hint="eastAsia" w:ascii="仿宋_GB2312" w:hAnsi="仿宋_GB2312" w:cs="仿宋_GB2312"/>
                <w:b/>
                <w:bCs/>
                <w:kern w:val="0"/>
                <w:sz w:val="22"/>
                <w:szCs w:val="22"/>
                <w:lang w:eastAsia="zh-CN"/>
              </w:rPr>
              <w:t>精神慰藉</w:t>
            </w: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1</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探  视</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上门看望、问询老年人，及时了解老人身体情况</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3小时/月</w:t>
            </w:r>
          </w:p>
        </w:tc>
      </w:tr>
      <w:tr>
        <w:tblPrEx>
          <w:shd w:val="clear" w:color="auto" w:fill="FFFFFF"/>
          <w:tblCellMar>
            <w:top w:w="0" w:type="dxa"/>
            <w:left w:w="0" w:type="dxa"/>
            <w:bottom w:w="0" w:type="dxa"/>
            <w:right w:w="0" w:type="dxa"/>
          </w:tblCellMar>
        </w:tblPrEx>
        <w:trPr>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2</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陪  聊</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陪同老年人聊天，排遣孤寂情绪</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542" w:hRule="atLeast"/>
          <w:jc w:val="center"/>
        </w:trPr>
        <w:tc>
          <w:tcPr>
            <w:tcW w:w="397" w:type="pct"/>
            <w:vMerge w:val="continue"/>
            <w:tcBorders>
              <w:left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3</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心理咨询　与疏导</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eastAsia="zh-CN"/>
              </w:rPr>
              <w:t>一对一心理咨询与疏导服务，解决情绪、情感、家庭问题</w:t>
            </w: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r>
              <w:rPr>
                <w:rFonts w:hint="eastAsia" w:ascii="仿宋_GB2312" w:hAnsi="仿宋_GB2312" w:cs="仿宋_GB2312"/>
                <w:color w:val="000000"/>
                <w:kern w:val="0"/>
                <w:sz w:val="21"/>
                <w:szCs w:val="21"/>
                <w:lang w:eastAsia="zh-CN"/>
              </w:rPr>
              <w:t>按实际服务时间结算，最长不超过</w:t>
            </w:r>
            <w:r>
              <w:rPr>
                <w:rFonts w:hint="eastAsia" w:ascii="仿宋_GB2312" w:hAnsi="仿宋_GB2312" w:cs="仿宋_GB2312"/>
                <w:color w:val="000000"/>
                <w:kern w:val="0"/>
                <w:sz w:val="21"/>
                <w:szCs w:val="21"/>
                <w:lang w:val="en-US" w:eastAsia="zh-CN"/>
              </w:rPr>
              <w:t>1小时</w:t>
            </w:r>
          </w:p>
        </w:tc>
      </w:tr>
      <w:tr>
        <w:tblPrEx>
          <w:tblCellMar>
            <w:top w:w="0" w:type="dxa"/>
            <w:left w:w="0" w:type="dxa"/>
            <w:bottom w:w="0" w:type="dxa"/>
            <w:right w:w="0" w:type="dxa"/>
          </w:tblCellMar>
        </w:tblPrEx>
        <w:trPr>
          <w:trHeight w:val="542" w:hRule="atLeast"/>
          <w:jc w:val="center"/>
        </w:trPr>
        <w:tc>
          <w:tcPr>
            <w:tcW w:w="397" w:type="pct"/>
            <w:vMerge w:val="continue"/>
            <w:tcBorders>
              <w:left w:val="single" w:color="auto" w:sz="8" w:space="0"/>
              <w:bottom w:val="single" w:color="auto" w:sz="8" w:space="0"/>
              <w:right w:val="single" w:color="auto" w:sz="8" w:space="0"/>
            </w:tcBorders>
            <w:shd w:val="clear" w:color="auto" w:fill="FFFFFF"/>
            <w:noWrap w:val="0"/>
            <w:vAlign w:val="center"/>
          </w:tcPr>
          <w:p>
            <w:pPr>
              <w:widowControl/>
              <w:jc w:val="left"/>
              <w:rPr>
                <w:rFonts w:hint="eastAsia" w:ascii="仿宋_GB2312" w:hAnsi="仿宋_GB2312" w:eastAsia="仿宋_GB2312" w:cs="仿宋_GB2312"/>
                <w:kern w:val="0"/>
                <w:sz w:val="22"/>
                <w:szCs w:val="22"/>
              </w:rPr>
            </w:pPr>
          </w:p>
        </w:tc>
        <w:tc>
          <w:tcPr>
            <w:tcW w:w="27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4</w:t>
            </w:r>
          </w:p>
        </w:tc>
        <w:tc>
          <w:tcPr>
            <w:tcW w:w="78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default" w:ascii="仿宋_GB2312" w:hAnsi="仿宋_GB2312" w:cs="仿宋_GB2312"/>
                <w:color w:val="000000"/>
                <w:kern w:val="0"/>
                <w:sz w:val="21"/>
                <w:szCs w:val="21"/>
                <w:lang w:val="en-US" w:eastAsia="zh-CN"/>
              </w:rPr>
            </w:pPr>
            <w:r>
              <w:rPr>
                <w:rFonts w:hint="eastAsia" w:ascii="仿宋_GB2312" w:hAnsi="仿宋_GB2312" w:cs="仿宋_GB2312"/>
                <w:color w:val="000000"/>
                <w:kern w:val="0"/>
                <w:sz w:val="21"/>
                <w:szCs w:val="21"/>
                <w:lang w:val="en-US" w:eastAsia="zh-CN"/>
              </w:rPr>
              <w:t>其  他</w:t>
            </w:r>
          </w:p>
        </w:tc>
        <w:tc>
          <w:tcPr>
            <w:tcW w:w="2297"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p>
        </w:tc>
        <w:tc>
          <w:tcPr>
            <w:tcW w:w="124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仿宋_GB2312" w:hAnsi="仿宋_GB2312" w:cs="仿宋_GB2312"/>
                <w:color w:val="000000"/>
                <w:kern w:val="0"/>
                <w:sz w:val="21"/>
                <w:szCs w:val="21"/>
                <w:lang w:eastAsia="zh-CN"/>
              </w:rPr>
            </w:pPr>
          </w:p>
        </w:tc>
      </w:tr>
    </w:tbl>
    <w:p>
      <w:r>
        <w:rPr>
          <w:rFonts w:hint="eastAsia" w:ascii="仿宋_GB2312" w:hAnsi="仿宋_GB2312" w:eastAsia="仿宋_GB2312" w:cs="仿宋_GB2312"/>
          <w:sz w:val="24"/>
          <w:szCs w:val="24"/>
        </w:rPr>
        <w:t>注：1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以上价格包含因服务实施所</w:t>
      </w:r>
      <w:r>
        <w:rPr>
          <w:rFonts w:hint="eastAsia" w:ascii="仿宋_GB2312" w:hAnsi="仿宋_GB2312" w:cs="仿宋_GB2312"/>
          <w:sz w:val="24"/>
          <w:szCs w:val="24"/>
          <w:lang w:val="en-US" w:eastAsia="zh-CN"/>
        </w:rPr>
        <w:t>必需</w:t>
      </w:r>
      <w:r>
        <w:rPr>
          <w:rFonts w:hint="eastAsia" w:ascii="仿宋_GB2312" w:hAnsi="仿宋_GB2312" w:eastAsia="仿宋_GB2312" w:cs="仿宋_GB2312"/>
          <w:sz w:val="24"/>
          <w:szCs w:val="24"/>
        </w:rPr>
        <w:t>的专业技术、器械用具、简易耗材等方面费用，不包括其他另行购置的产品与材料费用，超过时间自行付费。</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同一服务人员在同一时段内连续为同一对象提供多项服务的，按实际服务时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间结算。</w:t>
      </w:r>
      <w:r>
        <w:rPr>
          <w:rFonts w:hint="eastAsia" w:ascii="仿宋_GB2312" w:hAnsi="仿宋_GB2312" w:eastAsia="仿宋_GB2312" w:cs="仿宋_GB2312"/>
          <w:color w:val="000000"/>
          <w:sz w:val="32"/>
          <w:szCs w:val="32"/>
          <w:lang w:val="en-US" w:eastAsia="zh-CN"/>
        </w:rPr>
        <w:br w:type="page"/>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21708"/>
    <w:rsid w:val="0A1440CF"/>
    <w:rsid w:val="32264159"/>
    <w:rsid w:val="4C32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2024-02-05T06:51:00Z</dcterms:created>
  <dc:creator>GRJ1413941376</dc:creator>
  <cp:lastModifiedBy>GRJ1413941376</cp:lastModifiedBy>
  <dcterms:modified xsi:type="dcterms:W3CDTF">2024-02-22T01:15:13Z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